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color w:val="6B7280"/>
          <w:sz w:val="22"/>
          <w:szCs w:val="22"/>
          <w:b w:val="1"/>
          <w:bCs w:val="1"/>
        </w:rPr>
        <w:t xml:space="preserve">AMBASSADIA SARL</w:t>
      </w:r>
    </w:p>
    <w:p>
      <w:pPr>
        <w:jc w:val="center"/>
        <w:spacing w:after="80"/>
      </w:pPr>
      <w:r>
        <w:rPr>
          <w:color w:val="1F3A8A"/>
          <w:sz w:val="52"/>
          <w:szCs w:val="52"/>
          <w:b w:val="1"/>
          <w:bCs w:val="1"/>
        </w:rPr>
        <w:t xml:space="preserve">Accord de sous-traitance RGPD</w:t>
      </w:r>
    </w:p>
    <w:p>
      <w:pPr>
        <w:jc w:val="center"/>
        <w:spacing w:after="240"/>
      </w:pPr>
      <w:r>
        <w:rPr>
          <w:color w:val="1F3A8A"/>
          <w:sz w:val="26"/>
          <w:szCs w:val="26"/>
          <w:i w:val="1"/>
          <w:iCs w:val="1"/>
        </w:rPr>
        <w:t xml:space="preserve">Article 28 du Règlement (UE) 2016/679 — RGPD</w:t>
      </w:r>
    </w:p>
    <w:p>
      <w:pPr>
        <w:pStyle w:val="Caption"/>
      </w:pPr>
      <w:r>
        <w:rPr>
          <w:color w:val="6B7280"/>
          <w:sz w:val="20"/>
          <w:szCs w:val="20"/>
        </w:rPr>
        <w:t xml:space="preserve">Version 1.0 — 30/06/2026</w:t>
      </w:r>
    </w:p>
    <w:p>
      <w:pPr>
        <w:jc w:val="center"/>
        <w:spacing w:after="80"/>
      </w:pPr>
      <w:r>
        <w:rPr>
          <w:color w:val="6B7280"/>
          <w:sz w:val="20"/>
          <w:szCs w:val="20"/>
        </w:rPr>
        <w:t xml:space="preserve">Solution : TranscribIA (SaaS souverain ou on-premise)</w:t>
      </w:r>
    </w:p>
    <w:p>
      <w:pPr>
        <w:jc w:val="center"/>
        <w:spacing w:after="100"/>
      </w:pPr>
      <w:r>
        <w:rPr>
          <w:color w:val="6B7280"/>
          <w:sz w:val="20"/>
          <w:szCs w:val="20"/>
        </w:rPr>
        <w:t xml:space="preserve">Audience : DPO, RSSI, DSI, juristes des organisations clientes
Statut : modèle signable, à compléter par les champs marqués [à compléter]</w:t>
      </w:r>
    </w:p>
    <w:p>
      <w:r>
        <w:br w:type="page"/>
      </w:r>
    </w:p>
    <w:p>
      <w:pPr>
        <w:pStyle w:val="H1"/>
      </w:pPr>
      <w:r>
        <w:rPr>
          <w:color w:val="1F3A8A"/>
          <w:sz w:val="32"/>
          <w:szCs w:val="32"/>
          <w:b w:val="1"/>
          <w:bCs w:val="1"/>
        </w:rPr>
        <w:t xml:space="preserve">1. PRÉAMBULE ET IDENTIFICATION DES PARTIES</w:t>
      </w:r>
    </w:p>
    <w:p>
      <w:pPr>
        <w:pStyle w:val="Body"/>
      </w:pPr>
      <w:r>
        <w:rPr/>
        <w:t xml:space="preserve">Le présent Accord de sous-traitance RGPD, version 1.0 du 19 mai 2026, est conclu entre le Client, agissant en qualité de responsable du traitement au sens du RGPD, et AMBASSADIA SARL, agissant en qualité de sous-traitant pour l’exploitation de la solution TranscribIA.</w:t>
      </w:r>
    </w:p>
    <w:tbl>
      <w:tblGrid>
        <w:gridCol/>
        <w:gridCol/>
      </w:tblGrid>
      <w:tblPr>
        <w:tblStyle w:val="DpaTable"/>
      </w:tblPr>
      <w:tr>
        <w:trPr/>
        <w:tc>
          <w:tcPr>
            <w:shd w:val="clear" w:fill="E5E7EB"/>
            <w:noWrap/>
          </w:tcPr>
          <w:p>
            <w:pPr/>
            <w:r>
              <w:rPr>
                <w:sz w:val="20"/>
                <w:szCs w:val="20"/>
                <w:b w:val="1"/>
                <w:bCs w:val="1"/>
              </w:rPr>
              <w:t xml:space="preserve">Partie</w:t>
            </w:r>
          </w:p>
        </w:tc>
        <w:tc>
          <w:tcPr>
            <w:shd w:val="clear" w:fill="E5E7EB"/>
            <w:noWrap/>
          </w:tcPr>
          <w:p>
            <w:pPr/>
            <w:r>
              <w:rPr>
                <w:sz w:val="20"/>
                <w:szCs w:val="20"/>
                <w:b w:val="1"/>
                <w:bCs w:val="1"/>
              </w:rPr>
              <w:t xml:space="preserve">Identification</w:t>
            </w:r>
          </w:p>
        </w:tc>
      </w:tr>
      <w:tr>
        <w:trPr/>
        <w:tc>
          <w:tcPr>
            <w:noWrap/>
          </w:tcPr>
          <w:p>
            <w:pPr/>
            <w:r>
              <w:rPr/>
              <w:t xml:space="preserve">Client / Responsable du traitement</w:t>
            </w:r>
          </w:p>
        </w:tc>
        <w:tc>
          <w:tcPr>
            <w:noWrap/>
          </w:tcPr>
          <w:p>
            <w:pPr/>
            <w:r>
              <w:rPr/>
              <w:t xml:space="preserve">[dénomination sociale à compléter par le client]</w:t>
            </w:r>
          </w:p>
        </w:tc>
      </w:tr>
      <w:tr>
        <w:trPr/>
        <w:tc>
          <w:tcPr>
            <w:shd w:val="clear" w:fill="F9FAFB"/>
            <w:noWrap/>
          </w:tcPr>
          <w:p>
            <w:pPr/>
            <w:r>
              <w:rPr/>
              <w:t xml:space="preserve">Forme juridique</w:t>
            </w:r>
          </w:p>
        </w:tc>
        <w:tc>
          <w:tcPr>
            <w:shd w:val="clear" w:fill="F9FAFB"/>
            <w:noWrap/>
          </w:tcPr>
          <w:p>
            <w:pPr/>
            <w:r>
              <w:rPr/>
              <w:t xml:space="preserve">[à compléter par le client]</w:t>
            </w:r>
          </w:p>
        </w:tc>
      </w:tr>
      <w:tr>
        <w:trPr/>
        <w:tc>
          <w:tcPr>
            <w:noWrap/>
          </w:tcPr>
          <w:p>
            <w:pPr/>
            <w:r>
              <w:rPr/>
              <w:t xml:space="preserve">Capital social</w:t>
            </w:r>
          </w:p>
        </w:tc>
        <w:tc>
          <w:tcPr>
            <w:noWrap/>
          </w:tcPr>
          <w:p>
            <w:pPr/>
            <w:r>
              <w:rPr/>
              <w:t xml:space="preserve">[à compléter par le client]</w:t>
            </w:r>
          </w:p>
        </w:tc>
      </w:tr>
      <w:tr>
        <w:trPr/>
        <w:tc>
          <w:tcPr>
            <w:shd w:val="clear" w:fill="F9FAFB"/>
            <w:noWrap/>
          </w:tcPr>
          <w:p>
            <w:pPr/>
            <w:r>
              <w:rPr/>
              <w:t xml:space="preserve">Immatriculation</w:t>
            </w:r>
          </w:p>
        </w:tc>
        <w:tc>
          <w:tcPr>
            <w:shd w:val="clear" w:fill="F9FAFB"/>
            <w:noWrap/>
          </w:tcPr>
          <w:p>
            <w:pPr/>
            <w:r>
              <w:rPr/>
              <w:t xml:space="preserve">[à compléter par le client]</w:t>
            </w:r>
          </w:p>
        </w:tc>
      </w:tr>
      <w:tr>
        <w:trPr/>
        <w:tc>
          <w:tcPr>
            <w:noWrap/>
          </w:tcPr>
          <w:p>
            <w:pPr/>
            <w:r>
              <w:rPr/>
              <w:t xml:space="preserve">Siège social</w:t>
            </w:r>
          </w:p>
        </w:tc>
        <w:tc>
          <w:tcPr>
            <w:noWrap/>
          </w:tcPr>
          <w:p>
            <w:pPr/>
            <w:r>
              <w:rPr/>
              <w:t xml:space="preserve">[à compléter par le client]</w:t>
            </w:r>
          </w:p>
        </w:tc>
      </w:tr>
      <w:tr>
        <w:trPr/>
        <w:tc>
          <w:tcPr>
            <w:shd w:val="clear" w:fill="F9FAFB"/>
            <w:noWrap/>
          </w:tcPr>
          <w:p>
            <w:pPr/>
            <w:r>
              <w:rPr/>
              <w:t xml:space="preserve">Représentant légal</w:t>
            </w:r>
          </w:p>
        </w:tc>
        <w:tc>
          <w:tcPr>
            <w:shd w:val="clear" w:fill="F9FAFB"/>
            <w:noWrap/>
          </w:tcPr>
          <w:p>
            <w:pPr/>
            <w:r>
              <w:rPr/>
              <w:t xml:space="preserve">[nom, qualité à compléter par le client]</w:t>
            </w:r>
          </w:p>
        </w:tc>
      </w:tr>
      <w:tr>
        <w:trPr/>
        <w:tc>
          <w:tcPr>
            <w:noWrap/>
          </w:tcPr>
          <w:p>
            <w:pPr/>
            <w:r>
              <w:rPr/>
              <w:t xml:space="preserve">Contact RGPD / DPO</w:t>
            </w:r>
          </w:p>
        </w:tc>
        <w:tc>
          <w:tcPr>
            <w:noWrap/>
          </w:tcPr>
          <w:p>
            <w:pPr/>
            <w:r>
              <w:rPr/>
              <w:t xml:space="preserve">[email à compléter par le client]</w:t>
            </w:r>
          </w:p>
        </w:tc>
      </w:tr>
      <w:tr>
        <w:trPr/>
        <w:tc>
          <w:tcPr>
            <w:shd w:val="clear" w:fill="F9FAFB"/>
            <w:noWrap/>
          </w:tcPr>
          <w:p>
            <w:pPr/>
            <w:r>
              <w:rPr/>
              <w:t xml:space="preserve">Sous-traitant</w:t>
            </w:r>
          </w:p>
        </w:tc>
        <w:tc>
          <w:tcPr>
            <w:shd w:val="clear" w:fill="F9FAFB"/>
            <w:noWrap/>
          </w:tcPr>
          <w:p>
            <w:pPr/>
            <w:r>
              <w:rPr/>
              <w:t xml:space="preserve">AMBASSADIA SARL</w:t>
            </w:r>
          </w:p>
        </w:tc>
      </w:tr>
      <w:tr>
        <w:trPr/>
        <w:tc>
          <w:tcPr>
            <w:noWrap/>
          </w:tcPr>
          <w:p>
            <w:pPr/>
            <w:r>
              <w:rPr/>
              <w:t xml:space="preserve">Forme juridique</w:t>
            </w:r>
          </w:p>
        </w:tc>
        <w:tc>
          <w:tcPr>
            <w:noWrap/>
          </w:tcPr>
          <w:p>
            <w:pPr/>
            <w:r>
              <w:rPr/>
              <w:t xml:space="preserve">SARL au capital de 50 000 €</w:t>
            </w:r>
          </w:p>
        </w:tc>
      </w:tr>
      <w:tr>
        <w:trPr/>
        <w:tc>
          <w:tcPr>
            <w:shd w:val="clear" w:fill="F9FAFB"/>
            <w:noWrap/>
          </w:tcPr>
          <w:p>
            <w:pPr/>
            <w:r>
              <w:rPr/>
              <w:t xml:space="preserve">Immatriculation</w:t>
            </w:r>
          </w:p>
        </w:tc>
        <w:tc>
          <w:tcPr>
            <w:shd w:val="clear" w:fill="F9FAFB"/>
            <w:noWrap/>
          </w:tcPr>
          <w:p>
            <w:pPr/>
            <w:r>
              <w:rPr/>
              <w:t xml:space="preserve">[RCS à compléter]</w:t>
            </w:r>
          </w:p>
        </w:tc>
      </w:tr>
      <w:tr>
        <w:trPr/>
        <w:tc>
          <w:tcPr>
            <w:noWrap/>
          </w:tcPr>
          <w:p>
            <w:pPr/>
            <w:r>
              <w:rPr/>
              <w:t xml:space="preserve">Siège social</w:t>
            </w:r>
          </w:p>
        </w:tc>
        <w:tc>
          <w:tcPr>
            <w:noWrap/>
          </w:tcPr>
          <w:p>
            <w:pPr/>
            <w:r>
              <w:rPr/>
              <w:t xml:space="preserve">[adresse à compléter]</w:t>
            </w:r>
          </w:p>
        </w:tc>
      </w:tr>
      <w:tr>
        <w:trPr/>
        <w:tc>
          <w:tcPr>
            <w:shd w:val="clear" w:fill="F9FAFB"/>
            <w:noWrap/>
          </w:tcPr>
          <w:p>
            <w:pPr/>
            <w:r>
              <w:rPr/>
              <w:t xml:space="preserve">Représentant légal</w:t>
            </w:r>
          </w:p>
        </w:tc>
        <w:tc>
          <w:tcPr>
            <w:shd w:val="clear" w:fill="F9FAFB"/>
            <w:noWrap/>
          </w:tcPr>
          <w:p>
            <w:pPr/>
            <w:r>
              <w:rPr/>
              <w:t xml:space="preserve">Olivier Dupont, Gérant</w:t>
            </w:r>
          </w:p>
        </w:tc>
      </w:tr>
      <w:tr>
        <w:trPr/>
        <w:tc>
          <w:tcPr>
            <w:noWrap/>
          </w:tcPr>
          <w:p>
            <w:pPr/>
            <w:r>
              <w:rPr/>
              <w:t xml:space="preserve">Contact RGPD / DPO</w:t>
            </w:r>
          </w:p>
        </w:tc>
        <w:tc>
          <w:tcPr>
            <w:noWrap/>
          </w:tcPr>
          <w:p>
            <w:pPr/>
            <w:r>
              <w:rPr/>
              <w:t xml:space="preserve">olivier@ambassadia.com</w:t>
            </w:r>
          </w:p>
        </w:tc>
      </w:tr>
      <w:tr>
        <w:trPr/>
        <w:tc>
          <w:tcPr>
            <w:shd w:val="clear" w:fill="F9FAFB"/>
            <w:noWrap/>
          </w:tcPr>
          <w:p>
            <w:pPr/>
            <w:r>
              <w:rPr/>
              <w:t xml:space="preserve">Service concerné</w:t>
            </w:r>
          </w:p>
        </w:tc>
        <w:tc>
          <w:tcPr>
            <w:shd w:val="clear" w:fill="F9FAFB"/>
            <w:noWrap/>
          </w:tcPr>
          <w:p>
            <w:pPr/>
            <w:r>
              <w:rPr/>
              <w:t xml:space="preserve">TranscribIA, solution SaaS et/ou déploiement Docker on-premise de transcription audio, exploitation de transcriptions, assistance IA et suggestion d’identification de locuteurs</w:t>
            </w:r>
          </w:p>
        </w:tc>
      </w:tr>
      <w:tr>
        <w:trPr/>
        <w:tc>
          <w:tcPr>
            <w:noWrap/>
          </w:tcPr>
          <w:p>
            <w:pPr/>
            <w:r>
              <w:rPr/>
              <w:t xml:space="preserve">Version de l’Accord</w:t>
            </w:r>
          </w:p>
        </w:tc>
        <w:tc>
          <w:tcPr>
            <w:noWrap/>
          </w:tcPr>
          <w:p>
            <w:pPr/>
            <w:r>
              <w:rPr/>
              <w:t xml:space="preserve">1.0 — 19 mai 2026</w:t>
            </w:r>
          </w:p>
        </w:tc>
      </w:tr>
      <w:tr>
        <w:trPr/>
        <w:tc>
          <w:tcPr>
            <w:shd w:val="clear" w:fill="F9FAFB"/>
            <w:noWrap/>
          </w:tcPr>
          <w:p>
            <w:pPr/>
            <w:r>
              <w:rPr/>
              <w:t xml:space="preserve">Date d’entrée en vigueur</w:t>
            </w:r>
          </w:p>
        </w:tc>
        <w:tc>
          <w:tcPr>
            <w:shd w:val="clear" w:fill="F9FAFB"/>
            <w:noWrap/>
          </w:tcPr>
          <w:p>
            <w:pPr/>
            <w:r>
              <w:rPr/>
              <w:t xml:space="preserve">[date à compléter]</w:t>
            </w:r>
          </w:p>
        </w:tc>
      </w:tr>
    </w:tbl>
    <w:p/>
    <w:p>
      <w:pPr>
        <w:pStyle w:val="Body"/>
      </w:pPr>
      <w:r>
        <w:rPr/>
        <w:t xml:space="preserve">Les Parties conviennent que le Client détermine les finalités et les moyens essentiels des traitements réalisés au moyen du Service. AMBASSADIA SARL traite les Données à caractère personnel uniquement pour le compte du Client, dans les limites du Contrat principal, du présent Accord et des instructions documentées du Client.</w:t>
      </w:r>
    </w:p>
    <w:p>
      <w:pPr>
        <w:pStyle w:val="H1"/>
      </w:pPr>
      <w:r>
        <w:rPr>
          <w:color w:val="1F3A8A"/>
          <w:sz w:val="32"/>
          <w:szCs w:val="32"/>
          <w:b w:val="1"/>
          <w:bCs w:val="1"/>
        </w:rPr>
        <w:t xml:space="preserve">2. DÉFINITIONS</w:t>
      </w:r>
    </w:p>
    <w:p>
      <w:pPr>
        <w:pStyle w:val="Body"/>
      </w:pPr>
      <w:r>
        <w:rPr/>
        <w:t xml:space="preserve">« Application » ou « Service » désigne la solution TranscribIA, accessible notamment à l’adresse `https://trans.tavportal.com` en mode SaaS, ainsi que ses composants applicatifs, API, interfaces d’administration, traitements de transcription, traitements IA, fonctionnalités de voice correlation, exports, journaux d’audit et, le cas échéant, son déploiement Docker on-premise.</w:t>
      </w:r>
    </w:p>
    <w:p>
      <w:pPr>
        <w:pStyle w:val="Body"/>
      </w:pPr>
      <w:r>
        <w:rPr/>
        <w:t xml:space="preserve">« Données à caractère personnel » désigne toute information se rapportant à une personne physique identifiée ou identifiable, au sens de l’article 4.1 du RGPD.</w:t>
      </w:r>
    </w:p>
    <w:p>
      <w:pPr>
        <w:pStyle w:val="Body"/>
      </w:pPr>
      <w:r>
        <w:rPr/>
        <w:t xml:space="preserve">« Incident de sécurité » désigne tout événement compromettant ou susceptible de compromettre la confidentialité, l’intégrité, la disponibilité ou la résilience des systèmes ou des Données, incluant toute violation de Données à caractère personnel au sens de l’article 4.12 du RGPD.</w:t>
      </w:r>
    </w:p>
    <w:p>
      <w:pPr>
        <w:pStyle w:val="Body"/>
      </w:pPr>
      <w:r>
        <w:rPr/>
        <w:t xml:space="preserve">« MTOs » désigne les mesures techniques et organisationnelles mises en œuvre pour assurer un niveau de sécurité adapté au risque, conformément notamment à l’article 32 du RGPD.</w:t>
      </w:r>
    </w:p>
    <w:p>
      <w:pPr>
        <w:pStyle w:val="Body"/>
      </w:pPr>
      <w:r>
        <w:rPr/>
        <w:t xml:space="preserve">« Personne concernée » désigne toute personne physique dont les Données à caractère personnel sont traitées dans le cadre du Service, notamment les utilisateurs du Client, intervenants enregistrés, participants à des réunions, personnes mentionnées dans les transcriptions, documents ou métadonnées.</w:t>
      </w:r>
    </w:p>
    <w:p>
      <w:pPr>
        <w:pStyle w:val="Body"/>
      </w:pPr>
      <w:r>
        <w:rPr/>
        <w:t xml:space="preserve">« Responsable du traitement » désigne la personne morale ou l’organisme qui détermine les finalités et les moyens du Traitement, au sens de l’article 4.7 du RGPD. Dans le présent Accord, le Client agit en cette qualité.</w:t>
      </w:r>
    </w:p>
    <w:p>
      <w:pPr>
        <w:pStyle w:val="Body"/>
      </w:pPr>
      <w:r>
        <w:rPr/>
        <w:t xml:space="preserve">« RGPD » désigne le Règlement (UE) 2016/679 du 27 avril 2016, notamment ses articles 28, 32, 33, 34, 35 et 36, dont le texte officiel est publié par la CNIL à l’adresse suivante : https://www.cnil.fr/fr/reglement-europeen-protection-donnees/chapitre4.</w:t>
      </w:r>
    </w:p>
    <w:p>
      <w:pPr>
        <w:pStyle w:val="Body"/>
      </w:pPr>
      <w:r>
        <w:rPr/>
        <w:t xml:space="preserve">« Sous-traitant » désigne la personne morale qui traite des Données à caractère personnel pour le compte du Responsable du traitement, au sens de l’article 4.8 du RGPD. Dans le présent Accord, AMBASSADIA SARL agit en cette qualité.</w:t>
      </w:r>
    </w:p>
    <w:p>
      <w:pPr>
        <w:pStyle w:val="Body"/>
      </w:pPr>
      <w:r>
        <w:rPr/>
        <w:t xml:space="preserve">« Sous-traitant ultérieur » désigne tout prestataire recruté par AMBASSADIA SARL pour mener des activités de traitement spécifiques pour le compte du Client, dans les conditions des articles 28.2 et 28.4 du RGPD.</w:t>
      </w:r>
    </w:p>
    <w:p>
      <w:pPr>
        <w:pStyle w:val="Body"/>
      </w:pPr>
      <w:r>
        <w:rPr/>
        <w:t xml:space="preserve">« Traitement » désigne toute opération ou tout ensemble d’opérations effectuées ou non à l’aide de procédés automatisés et appliquées à des Données à caractère personnel, au sens de l’article 4.2 du RGPD.</w:t>
      </w:r>
    </w:p>
    <w:p>
      <w:pPr>
        <w:pStyle w:val="H1"/>
      </w:pPr>
      <w:r>
        <w:rPr>
          <w:color w:val="1F3A8A"/>
          <w:sz w:val="32"/>
          <w:szCs w:val="32"/>
          <w:b w:val="1"/>
          <w:bCs w:val="1"/>
        </w:rPr>
        <w:t xml:space="preserve">3. OBJET ET HIÉRARCHIE CONTRACTUELLE</w:t>
      </w:r>
    </w:p>
    <w:p>
      <w:pPr>
        <w:pStyle w:val="Body"/>
      </w:pPr>
      <w:r>
        <w:rPr/>
        <w:t xml:space="preserve">Le présent Accord a pour objet de définir les conditions dans lesquelles AMBASSADIA SARL traite des Données à caractère personnel pour le compte du Client dans le cadre du Service TranscribIA, conformément à l’article 28 du RGPD.</w:t>
      </w:r>
    </w:p>
    <w:p>
      <w:pPr>
        <w:pStyle w:val="Body"/>
      </w:pPr>
      <w:r>
        <w:rPr/>
        <w:t xml:space="preserve">Le présent Accord complète le contrat principal, les conditions particulières, bons de commande, devis acceptés, conditions générales de service, annexes techniques et tout autre document contractuel régissant la fourniture du Service au Client.</w:t>
      </w:r>
    </w:p>
    <w:p>
      <w:pPr>
        <w:pStyle w:val="Body"/>
      </w:pPr>
      <w:r>
        <w:rPr/>
        <w:t xml:space="preserve">En cas de contradiction entre le présent Accord et le Contrat principal concernant la protection des Données à caractère personnel, la sécurité des traitements, les instructions du Client, les Sous-traitants ultérieurs, les transferts internationaux, la restitution ou la suppression des Données, les stipulations du présent Accord prévalent.</w:t>
      </w:r>
    </w:p>
    <w:p>
      <w:pPr>
        <w:pStyle w:val="Body"/>
      </w:pPr>
      <w:r>
        <w:rPr/>
        <w:t xml:space="preserve">Le présent Accord ne transfère pas à AMBASSADIA SARL la qualité de Responsable du traitement pour les traitements effectués pour le compte du Client. Le Client demeure responsable de la licéité des traitements, de la détermination des finalités, de la base légale, de l’information des Personnes concernées, de la gestion des droits et, le cas échéant, de la réalisation d’une analyse d’impact relative à la protection des données conformément à l’article 35 du RGPD.</w:t>
      </w:r>
    </w:p>
    <w:p>
      <w:pPr>
        <w:pStyle w:val="H1"/>
      </w:pPr>
      <w:r>
        <w:rPr>
          <w:color w:val="1F3A8A"/>
          <w:sz w:val="32"/>
          <w:szCs w:val="32"/>
          <w:b w:val="1"/>
          <w:bCs w:val="1"/>
        </w:rPr>
        <w:t xml:space="preserve">4. DESCRIPTION DU TRAITEMENT</w:t>
      </w:r>
    </w:p>
    <w:p>
      <w:pPr>
        <w:pStyle w:val="Body"/>
      </w:pPr>
      <w:r>
        <w:rPr/>
        <w:t xml:space="preserve">Les caractéristiques détaillées du Traitement, incluant son objet, sa durée, sa nature, ses finalités, les catégories de Données traitées, les catégories de Personnes concernées, les durées de conservation et les garanties propres à la fonctionnalité de voice correlation, figurent en Annexe 1.</w:t>
      </w:r>
    </w:p>
    <w:p>
      <w:pPr>
        <w:pStyle w:val="Body"/>
      </w:pPr>
      <w:r>
        <w:rPr/>
        <w:t xml:space="preserve">Le Service est fourni selon l’une des options suivantes, à cocher par les Parties :</w:t>
      </w:r>
    </w:p>
    <w:tbl>
      <w:tblGrid>
        <w:gridCol/>
        <w:gridCol/>
        <w:gridCol/>
      </w:tblGrid>
      <w:tblPr>
        <w:tblStyle w:val="DpaTable"/>
      </w:tblPr>
      <w:tr>
        <w:trPr/>
        <w:tc>
          <w:tcPr>
            <w:shd w:val="clear" w:fill="E5E7EB"/>
            <w:noWrap/>
          </w:tcPr>
          <w:p>
            <w:pPr/>
            <w:r>
              <w:rPr>
                <w:sz w:val="20"/>
                <w:szCs w:val="20"/>
                <w:b w:val="1"/>
                <w:bCs w:val="1"/>
              </w:rPr>
              <w:t xml:space="preserve">Option</w:t>
            </w:r>
          </w:p>
        </w:tc>
        <w:tc>
          <w:tcPr>
            <w:shd w:val="clear" w:fill="E5E7EB"/>
            <w:noWrap/>
          </w:tcPr>
          <w:p>
            <w:pPr/>
            <w:r>
              <w:rPr>
                <w:sz w:val="20"/>
                <w:szCs w:val="20"/>
                <w:b w:val="1"/>
                <w:bCs w:val="1"/>
              </w:rPr>
              <w:t xml:space="preserve">Mode de fourniture</w:t>
            </w:r>
          </w:p>
        </w:tc>
        <w:tc>
          <w:tcPr>
            <w:shd w:val="clear" w:fill="E5E7EB"/>
            <w:noWrap/>
          </w:tcPr>
          <w:p>
            <w:pPr/>
            <w:r>
              <w:rPr>
                <w:sz w:val="20"/>
                <w:szCs w:val="20"/>
                <w:b w:val="1"/>
                <w:bCs w:val="1"/>
              </w:rPr>
              <w:t xml:space="preserve">Choix</w:t>
            </w:r>
          </w:p>
        </w:tc>
      </w:tr>
      <w:tr>
        <w:trPr/>
        <w:tc>
          <w:tcPr>
            <w:noWrap/>
          </w:tcPr>
          <w:p>
            <w:pPr/>
            <w:r>
              <w:rPr/>
              <w:t xml:space="preserve">Option A</w:t>
            </w:r>
          </w:p>
        </w:tc>
        <w:tc>
          <w:tcPr>
            <w:noWrap/>
          </w:tcPr>
          <w:p>
            <w:pPr/>
            <w:r>
              <w:rPr/>
              <w:t xml:space="preserve">SaaS TranscribIA hébergé et opéré par AMBASSADIA SARL, avec hébergement en France ou dans l’Union européenne</w:t>
            </w:r>
          </w:p>
        </w:tc>
        <w:tc>
          <w:tcPr>
            <w:noWrap/>
          </w:tcPr>
          <w:p>
            <w:pPr/>
            <w:r>
              <w:rPr/>
              <w:t xml:space="preserve">[ ]</w:t>
            </w:r>
          </w:p>
        </w:tc>
      </w:tr>
      <w:tr>
        <w:trPr/>
        <w:tc>
          <w:tcPr>
            <w:shd w:val="clear" w:fill="F9FAFB"/>
            <w:noWrap/>
          </w:tcPr>
          <w:p>
            <w:pPr/>
            <w:r>
              <w:rPr/>
              <w:t xml:space="preserve">Option B</w:t>
            </w:r>
          </w:p>
        </w:tc>
        <w:tc>
          <w:tcPr>
            <w:shd w:val="clear" w:fill="F9FAFB"/>
            <w:noWrap/>
          </w:tcPr>
          <w:p>
            <w:pPr/>
            <w:r>
              <w:rPr/>
              <w:t xml:space="preserve">Déploiement on-premise Docker chez le Client ou dans l’infrastructure désignée par le Client</w:t>
            </w:r>
          </w:p>
        </w:tc>
        <w:tc>
          <w:tcPr>
            <w:shd w:val="clear" w:fill="F9FAFB"/>
            <w:noWrap/>
          </w:tcPr>
          <w:p>
            <w:pPr/>
            <w:r>
              <w:rPr/>
              <w:t xml:space="preserve">[ ]</w:t>
            </w:r>
          </w:p>
        </w:tc>
      </w:tr>
    </w:tbl>
    <w:p/>
    <w:p>
      <w:pPr>
        <w:pStyle w:val="Body"/>
      </w:pPr>
      <w:r>
        <w:rPr/>
        <w:t xml:space="preserve">En Option A, AMBASSADIA SARL assure l’exploitation applicative, l’hébergement, la maintenance, la supervision, les sauvegardes techniques, les mises à jour et la sécurité opérationnelle du Service, dans les limites du Contrat principal et des MTOs décrites en Annexe 3.</w:t>
      </w:r>
    </w:p>
    <w:p>
      <w:pPr>
        <w:pStyle w:val="Body"/>
      </w:pPr>
      <w:r>
        <w:rPr/>
        <w:t xml:space="preserve">En Option B, le Client assure l’hébergement, l’administration de l’infrastructure, la sécurité réseau, la sauvegarde, la supervision et les accès systèmes de son environnement, sauf stipulation contraire. AMBASSADIA SARL demeure Sous-traitant pour les opérations qu’elle réalise effectivement pour le compte du Client, notamment support, maintenance, accès distant autorisé, mise à jour applicative, assistance technique, traitement IA ou transcription externe activés par le Client.</w:t>
      </w:r>
    </w:p>
    <w:p>
      <w:pPr>
        <w:pStyle w:val="H1"/>
      </w:pPr>
      <w:r>
        <w:rPr>
          <w:color w:val="1F3A8A"/>
          <w:sz w:val="32"/>
          <w:szCs w:val="32"/>
          <w:b w:val="1"/>
          <w:bCs w:val="1"/>
        </w:rPr>
        <w:t xml:space="preserve">5. OBLIGATIONS DU SOUS-TRAITANT</w:t>
      </w:r>
    </w:p>
    <w:p>
      <w:pPr>
        <w:pStyle w:val="Body"/>
      </w:pPr>
      <w:r>
        <w:rPr/>
        <w:t xml:space="preserve">5.1 INSTRUCTIONS DOCUMENTÉES DU CLIENT — ARTICLE 28.3.A RGPD</w:t>
      </w:r>
    </w:p>
    <w:p>
      <w:pPr>
        <w:pStyle w:val="Body"/>
      </w:pPr>
      <w:r>
        <w:rPr/>
        <w:t xml:space="preserve">AMBASSADIA SARL ne traite les Données à caractère personnel que sur instruction documentée du Client, y compris en ce qui concerne les transferts de Données vers un pays tiers ou une organisation internationale.</w:t>
      </w:r>
    </w:p>
    <w:p>
      <w:pPr>
        <w:pStyle w:val="Body"/>
      </w:pPr>
      <w:r>
        <w:rPr/>
        <w:t xml:space="preserve">Les instructions documentées comprennent le Contrat principal, le présent Accord, les paramétrages effectués par le Client dans l’Application, les demandes écrites adressées au support, les configurations techniques validées par le Client et les instructions complémentaires formalisées par écrit.</w:t>
      </w:r>
    </w:p>
    <w:p>
      <w:pPr>
        <w:pStyle w:val="Body"/>
      </w:pPr>
      <w:r>
        <w:rPr/>
        <w:t xml:space="preserve">AMBASSADIA SARL informe sans délai le Client si elle estime qu’une instruction constitue une violation du RGPD ou d’une autre disposition applicable du droit de l’Union ou du droit français relative à la protection des données, conformément à l’article 28.3.h du RGPD.</w:t>
      </w:r>
    </w:p>
    <w:p>
      <w:pPr>
        <w:pStyle w:val="Body"/>
      </w:pPr>
      <w:r>
        <w:rPr/>
        <w:t xml:space="preserve">Si AMBASSADIA SARL est tenue de traiter des Données en vertu du droit de l’Union ou du droit d’un État membre, elle en informe le Client avant le Traitement, sauf interdiction légale fondée sur un motif important d’intérêt public.</w:t>
      </w:r>
    </w:p>
    <w:p>
      <w:pPr>
        <w:pStyle w:val="Body"/>
      </w:pPr>
      <w:r>
        <w:rPr/>
        <w:t xml:space="preserve">5.2 CONFIDENTIALITÉ — ARTICLE 28.3.B RGPD</w:t>
      </w:r>
    </w:p>
    <w:p>
      <w:pPr>
        <w:pStyle w:val="Body"/>
      </w:pPr>
      <w:r>
        <w:rPr/>
        <w:t xml:space="preserve">AMBASSADIA SARL veille à ce que les personnes autorisées à traiter les Données à caractère personnel s’engagent à respecter la confidentialité ou soient soumises à une obligation légale appropriée de confidentialité.</w:t>
      </w:r>
    </w:p>
    <w:p>
      <w:pPr>
        <w:pStyle w:val="Body"/>
      </w:pPr>
      <w:r>
        <w:rPr/>
        <w:t xml:space="preserve">L’accès aux Données est limité aux personnels, mandataires ou prestataires ayant un besoin d’en connaître pour l’exécution du Service, du support, de la maintenance, de la sécurité ou d’une instruction documentée du Client.</w:t>
      </w:r>
    </w:p>
    <w:p>
      <w:pPr>
        <w:pStyle w:val="Body"/>
      </w:pPr>
      <w:r>
        <w:rPr/>
        <w:t xml:space="preserve">Les engagements de confidentialité demeurent applicables après la fin de la relation contractuelle des personnes concernées avec AMBASSADIA SARL.</w:t>
      </w:r>
    </w:p>
    <w:p>
      <w:pPr>
        <w:pStyle w:val="Body"/>
      </w:pPr>
      <w:r>
        <w:rPr/>
        <w:t xml:space="preserve">5.3 SÉCURITÉ DU TRAITEMENT — ARTICLES 28.3.C ET 32 RGPD</w:t>
      </w:r>
    </w:p>
    <w:p>
      <w:pPr>
        <w:pStyle w:val="Body"/>
      </w:pPr>
      <w:r>
        <w:rPr/>
        <w:t xml:space="preserve">AMBASSADIA SARL met en œuvre les MTOs décrites en Annexe 3 afin de garantir un niveau de sécurité adapté au risque, conformément aux articles 32.1.a, 32.1.b, 32.1.c et 32.1.d du RGPD.</w:t>
      </w:r>
    </w:p>
    <w:p>
      <w:pPr>
        <w:pStyle w:val="Body"/>
      </w:pPr>
      <w:r>
        <w:rPr/>
        <w:t xml:space="preserve">Ces MTOs couvrent notamment le chiffrement en transit, l’isolation logique des tenants, la gestion des accès, la journalisation, les sauvegardes, la continuité de service, la gestion des vulnérabilités, la sécurité des traitements IA et les garanties propres à la voice correlation.</w:t>
      </w:r>
    </w:p>
    <w:p>
      <w:pPr>
        <w:pStyle w:val="Body"/>
      </w:pPr>
      <w:r>
        <w:rPr/>
        <w:t xml:space="preserve">Le Client reconnaît que la sécurité du Traitement dépend également de ses propres obligations, notamment la gestion de ses utilisateurs, l’attribution des rôles, la protection des identifiants, le choix des fichiers uploadés, l’information des Personnes concernées et, en Option B, la sécurité de son infrastructure.</w:t>
      </w:r>
    </w:p>
    <w:p>
      <w:pPr>
        <w:pStyle w:val="Body"/>
      </w:pPr>
      <w:r>
        <w:rPr/>
        <w:t xml:space="preserve">5.4 SOUS-TRAITANTS ULTÉRIEURS — ARTICLES 28.3.D, 28.2 ET 28.4 RGPD</w:t>
      </w:r>
    </w:p>
    <w:p>
      <w:pPr>
        <w:pStyle w:val="Body"/>
      </w:pPr>
      <w:r>
        <w:rPr/>
        <w:t xml:space="preserve">AMBASSADIA SARL respecte les conditions prévues aux articles 28.2 et 28.4 du RGPD pour recruter un Sous-traitant ultérieur.</w:t>
      </w:r>
    </w:p>
    <w:p>
      <w:pPr>
        <w:pStyle w:val="Body"/>
      </w:pPr>
      <w:r>
        <w:rPr/>
        <w:t xml:space="preserve">AMBASSADIA SARL impose à tout Sous-traitant ultérieur, par contrat ou acte juridique équivalent, des obligations de protection des Données au moins équivalentes à celles du présent Accord, notamment en matière de confidentialité, sécurité, assistance, notification d’incident, restitution, suppression et audit.</w:t>
      </w:r>
    </w:p>
    <w:p>
      <w:pPr>
        <w:pStyle w:val="Body"/>
      </w:pPr>
      <w:r>
        <w:rPr/>
        <w:t xml:space="preserve">AMBASSADIA SARL demeure pleinement responsable devant le Client de l’exécution par les Sous-traitants ultérieurs de leurs obligations relatives à la protection des Données.</w:t>
      </w:r>
    </w:p>
    <w:p>
      <w:pPr>
        <w:pStyle w:val="Body"/>
      </w:pPr>
      <w:r>
        <w:rPr/>
        <w:t xml:space="preserve">5.5 ASSISTANCE POUR LES DROITS DES PERSONNES — ARTICLE 28.3.E RGPD</w:t>
      </w:r>
    </w:p>
    <w:p>
      <w:pPr>
        <w:pStyle w:val="Body"/>
      </w:pPr>
      <w:r>
        <w:rPr/>
        <w:t xml:space="preserve">Compte tenu de la nature du Traitement, AMBASSADIA SARL aide le Client, par des mesures techniques et organisationnelles appropriées et dans toute la mesure du possible, à s’acquitter de son obligation de donner suite aux demandes d’exercice des droits des Personnes concernées prévus aux articles 12 à 22 du RGPD.</w:t>
      </w:r>
    </w:p>
    <w:p>
      <w:pPr>
        <w:pStyle w:val="Body"/>
      </w:pPr>
      <w:r>
        <w:rPr/>
        <w:t xml:space="preserve">Cette assistance peut comprendre l’export de Données, la recherche de sessions, la suppression de comptes utilisateurs, la suppression de fichiers, la rectification d’informations saisies dans l’Application, l’accès aux journaux disponibles et l’assistance technique nécessaire à l’identification des Données concernées.</w:t>
      </w:r>
    </w:p>
    <w:p>
      <w:pPr>
        <w:pStyle w:val="Body"/>
      </w:pPr>
      <w:r>
        <w:rPr/>
        <w:t xml:space="preserve">AMBASSADIA SARL ne répond pas directement à une Personne concernée pour le compte du Client, sauf instruction documentée de celui-ci ou obligation légale.</w:t>
      </w:r>
    </w:p>
    <w:p>
      <w:pPr>
        <w:pStyle w:val="Body"/>
      </w:pPr>
      <w:r>
        <w:rPr/>
        <w:t xml:space="preserve">5.6 ASSISTANCE POUR LES OBLIGATIONS DES ARTICLES 32 À 36 — ARTICLE 28.3.F RGPD</w:t>
      </w:r>
    </w:p>
    <w:p>
      <w:pPr>
        <w:pStyle w:val="Body"/>
      </w:pPr>
      <w:r>
        <w:rPr/>
        <w:t xml:space="preserve">AMBASSADIA SARL aide le Client à garantir le respect de ses obligations prévues aux articles 32 à 36 du RGPD, compte tenu de la nature du Traitement et des informations à sa disposition.</w:t>
      </w:r>
    </w:p>
    <w:p>
      <w:pPr>
        <w:pStyle w:val="Body"/>
      </w:pPr>
      <w:r>
        <w:rPr/>
        <w:t xml:space="preserve">Cette assistance couvre notamment la sécurité du Traitement, la notification des violations de Données à caractère personnel, la communication éventuelle aux Personnes concernées, l’analyse d’impact relative à la protection des données et la consultation préalable de l’autorité de contrôle lorsque ces obligations incombent au Client.</w:t>
      </w:r>
    </w:p>
    <w:p>
      <w:pPr>
        <w:pStyle w:val="Body"/>
      </w:pPr>
      <w:r>
        <w:rPr/>
        <w:t xml:space="preserve">AMBASSADIA SARL fournit au Client, sur demande raisonnable, les informations techniques disponibles concernant l’architecture du Service, les MTOs, les traitements de transcription, les traitements IA, les Sous-traitants ultérieurs autorisés et les garanties relatives à la voice correlation.</w:t>
      </w:r>
    </w:p>
    <w:p>
      <w:pPr>
        <w:pStyle w:val="Body"/>
      </w:pPr>
      <w:r>
        <w:rPr/>
        <w:t xml:space="preserve">5.7 RESTITUTION OU SUPPRESSION — ARTICLE 28.3.G RGPD</w:t>
      </w:r>
    </w:p>
    <w:p>
      <w:pPr>
        <w:pStyle w:val="Body"/>
      </w:pPr>
      <w:r>
        <w:rPr/>
        <w:t xml:space="preserve">Au terme de la prestation de services relative au Traitement, AMBASSADIA SARL supprime ou restitue au Client, selon le choix documenté de celui-ci, toutes les Données à caractère personnel traitées pour son compte, et détruit les copies existantes, sauf obligation de conservation imposée par le droit de l’Union ou le droit français.</w:t>
      </w:r>
    </w:p>
    <w:p>
      <w:pPr>
        <w:pStyle w:val="Body"/>
      </w:pPr>
      <w:r>
        <w:rPr/>
        <w:t xml:space="preserve">Les modalités opérationnelles de restitution, suppression, export, délais et certificat sont définies à la section 11.</w:t>
      </w:r>
    </w:p>
    <w:p>
      <w:pPr>
        <w:pStyle w:val="Body"/>
      </w:pPr>
      <w:r>
        <w:rPr/>
        <w:t xml:space="preserve">5.8 DÉMONSTRATION DE CONFORMITÉ ET AUDIT — ARTICLE 28.3.H RGPD</w:t>
      </w:r>
    </w:p>
    <w:p>
      <w:pPr>
        <w:pStyle w:val="Body"/>
      </w:pPr>
      <w:r>
        <w:rPr/>
        <w:t xml:space="preserve">AMBASSADIA SARL met à la disposition du Client les informations nécessaires pour démontrer le respect des obligations prévues à l’article 28 du RGPD et permet la réalisation d’audits, y compris d’inspections, par le Client ou un auditeur mandaté par lui, dans les conditions prévues à la section 10.</w:t>
      </w:r>
    </w:p>
    <w:p>
      <w:pPr>
        <w:pStyle w:val="Body"/>
      </w:pPr>
      <w:r>
        <w:rPr/>
        <w:t xml:space="preserve">AMBASSADIA SARL tient un registre des catégories d’activités de traitement effectuées pour le compte du Client lorsque celui-ci est requis par l’article 30.2 du RGPD.</w:t>
      </w:r>
    </w:p>
    <w:p>
      <w:pPr>
        <w:pStyle w:val="H1"/>
      </w:pPr>
      <w:r>
        <w:rPr>
          <w:color w:val="1F3A8A"/>
          <w:sz w:val="32"/>
          <w:szCs w:val="32"/>
          <w:b w:val="1"/>
          <w:bCs w:val="1"/>
        </w:rPr>
        <w:t xml:space="preserve">6. SOUS-TRAITANTS ULTÉRIEURS</w:t>
      </w:r>
    </w:p>
    <w:p>
      <w:pPr>
        <w:pStyle w:val="Body"/>
      </w:pPr>
      <w:r>
        <w:rPr/>
        <w:t xml:space="preserve">Le Client accorde à AMBASSADIA SARL une autorisation écrite générale de recourir aux Sous-traitants ultérieurs listés en Annexe 2 pour les finalités qui y sont décrites, conformément à l’article 28.2 du RGPD.</w:t>
      </w:r>
    </w:p>
    <w:p>
      <w:pPr>
        <w:pStyle w:val="Body"/>
      </w:pPr>
      <w:r>
        <w:rPr/>
        <w:t xml:space="preserve">AMBASSADIA SARL informe le Client de tout ajout ou remplacement prévu de Sous-traitant ultérieur au moins trente (30) jours calendaires avant sa mise en œuvre, par email, notification contractuelle, notification dans l’Application ou tout autre moyen écrit permettant d’en conserver la preuve.</w:t>
      </w:r>
    </w:p>
    <w:p>
      <w:pPr>
        <w:pStyle w:val="Body"/>
      </w:pPr>
      <w:r>
        <w:rPr/>
        <w:t xml:space="preserve">Le Client peut formuler une objection écrite, motivée et raisonnable dans ce délai de trente (30) jours, lorsqu’il démontre que le Sous-traitant ultérieur envisagé ne présente pas de garanties suffisantes au regard du RGPD ou crée un risque significatif pour les droits et libertés des Personnes concernées.</w:t>
      </w:r>
    </w:p>
    <w:p>
      <w:pPr>
        <w:pStyle w:val="Body"/>
      </w:pPr>
      <w:r>
        <w:rPr/>
        <w:t xml:space="preserve">En cas d’objection, les Parties se concertent de bonne foi afin d’identifier une solution alternative raisonnable. Si aucune solution n’est possible sans compromettre la fourniture du Service, le Client peut résilier la partie concernée du Service dans les conditions du Contrat principal, sans préjudice des sommes dues pour les prestations déjà exécutées.</w:t>
      </w:r>
    </w:p>
    <w:p>
      <w:pPr>
        <w:pStyle w:val="H1"/>
      </w:pPr>
      <w:r>
        <w:rPr>
          <w:color w:val="1F3A8A"/>
          <w:sz w:val="32"/>
          <w:szCs w:val="32"/>
          <w:b w:val="1"/>
          <w:bCs w:val="1"/>
        </w:rPr>
        <w:t xml:space="preserve">7. LOCALISATION DES DONNÉES ET TRANSFERTS HORS UE</w:t>
      </w:r>
    </w:p>
    <w:p>
      <w:pPr>
        <w:pStyle w:val="Body"/>
      </w:pPr>
      <w:r>
        <w:rPr/>
        <w:t xml:space="preserve">En Option A, AMBASSADIA SARL s’engage à héberger les Données de production du Client en France ou, à défaut, dans l’Union européenne ou l’Espace économique européen, auprès de prestataires présentant des garanties suffisantes au regard du RGPD.</w:t>
      </w:r>
    </w:p>
    <w:p>
      <w:pPr>
        <w:pStyle w:val="Body"/>
      </w:pPr>
      <w:r>
        <w:rPr/>
        <w:t xml:space="preserve">À la date de la présente version, le Service SaaS TranscribIA est hébergé en France sur une infrastructure Hostinger et accessible via `https://trans.tavportal.com`.</w:t>
      </w:r>
    </w:p>
    <w:p>
      <w:pPr>
        <w:pStyle w:val="Body"/>
      </w:pPr>
      <w:r>
        <w:rPr/>
        <w:t xml:space="preserve">Les traitements réalisés via OpenRouter pour les fonctions IA sont limités aux instructions du Client et aux paramètres activés dans le Service. AMBASSADIA SARL privilégie les configurations, points de terminaison, régions ou engagements contractuels permettant un traitement dans l’Union européenne ou l’Espace économique européen lorsque ceux-ci sont disponibles pour le service concerné.</w:t>
      </w:r>
    </w:p>
    <w:p>
      <w:pPr>
        <w:pStyle w:val="Body"/>
      </w:pPr>
      <w:r>
        <w:rPr/>
        <w:t xml:space="preserve">Les traitements GPU à la demande, notamment pour la transcription, la diarisation ou la voice correlation, peuvent recourir à Vast.ai lorsque cette option est activée. AMBASSADIA SARL sélectionne des ressources situées dans l’Union européenne ou l’Espace économique européen lorsque cette localisation est requise par le Client ou prévue au Contrat principal.</w:t>
      </w:r>
    </w:p>
    <w:p>
      <w:pPr>
        <w:pStyle w:val="Body"/>
      </w:pPr>
      <w:r>
        <w:rPr/>
        <w:t xml:space="preserve">Aucun transfert de Données vers les États-Unis ou vers un pays tiers ne peut être effectué par AMBASSADIA SARL pour le compte du Client sans mécanisme valide de transfert au sens du chapitre V du RGPD. Sont notamment exclus les transferts vers les États-Unis en l’absence de clauses contractuelles types applicables, de mesures supplémentaires lorsque nécessaires, ou de tout autre mécanisme reconnu valide par le RGPD.</w:t>
      </w:r>
    </w:p>
    <w:p>
      <w:pPr>
        <w:pStyle w:val="Body"/>
      </w:pPr>
      <w:r>
        <w:rPr/>
        <w:t xml:space="preserve">Si un transfert hors Union européenne ou Espace économique européen devient nécessaire pour l’exécution du Service, AMBASSADIA SARL en informe préalablement le Client, identifie le pays concerné, la finalité, les catégories de Données, le Sous-traitant ultérieur concerné et le mécanisme de transfert applicable. Le Client conserve la faculté de s’y opposer dans les conditions de la section 6.</w:t>
      </w:r>
    </w:p>
    <w:p>
      <w:pPr>
        <w:pStyle w:val="H1"/>
      </w:pPr>
      <w:r>
        <w:rPr>
          <w:color w:val="1F3A8A"/>
          <w:sz w:val="32"/>
          <w:szCs w:val="32"/>
          <w:b w:val="1"/>
          <w:bCs w:val="1"/>
        </w:rPr>
        <w:t xml:space="preserve">8. SÉCURITÉ ET NOTIFICATION D’INCIDENT</w:t>
      </w:r>
    </w:p>
    <w:p>
      <w:pPr>
        <w:pStyle w:val="Body"/>
      </w:pPr>
      <w:r>
        <w:rPr/>
        <w:t xml:space="preserve">AMBASSADIA SARL met en œuvre des MTOs appropriées conformément aux articles 32.1.a à 32.1.d du RGPD, compte tenu de l’état des connaissances, des coûts de mise en œuvre, de la nature, de la portée, du contexte, des finalités du Traitement et des risques pour les droits et libertés des Personnes concernées.</w:t>
      </w:r>
    </w:p>
    <w:p>
      <w:pPr>
        <w:pStyle w:val="Body"/>
      </w:pPr>
      <w:r>
        <w:rPr/>
        <w:t xml:space="preserve">En cas d’Incident de sécurité affectant ou susceptible d’affecter les Données du Client, AMBASSADIA SARL prend sans délai les mesures nécessaires pour analyser l’incident, en limiter les effets, restaurer la sécurité du Service et préserver les éléments utiles à l’investigation.</w:t>
      </w:r>
    </w:p>
    <w:p>
      <w:pPr>
        <w:pStyle w:val="Body"/>
      </w:pPr>
      <w:r>
        <w:rPr/>
        <w:t xml:space="preserve">Lorsqu’AMBASSADIA SARL prend connaissance d’une violation de Données à caractère personnel concernant les Données du Client, elle en notifie le Client dans les meilleurs délais et au plus tard dans un délai de quarante-huit (48) heures ouvrées, conformément à l’article 33.2 du RGPD.</w:t>
      </w:r>
    </w:p>
    <w:p>
      <w:pPr>
        <w:pStyle w:val="Body"/>
      </w:pPr>
      <w:r>
        <w:rPr/>
        <w:t xml:space="preserve">La notification adressée au Client comprend, dans la mesure des informations disponibles :</w:t>
      </w:r>
    </w:p>
    <w:p>
      <w:pPr>
        <w:spacing w:after="80"/>
        <w:numPr>
          <w:ilvl w:val="0"/>
          <w:numId w:val="7"/>
        </w:numPr>
      </w:pPr>
      <w:r>
        <w:rPr/>
        <w:t xml:space="preserve">la nature de la violation ;</w:t>
      </w:r>
    </w:p>
    <w:p>
      <w:pPr>
        <w:spacing w:after="80"/>
        <w:numPr>
          <w:ilvl w:val="0"/>
          <w:numId w:val="7"/>
        </w:numPr>
      </w:pPr>
      <w:r>
        <w:rPr/>
        <w:t xml:space="preserve">les catégories de Données concernées ;</w:t>
      </w:r>
    </w:p>
    <w:p>
      <w:pPr>
        <w:spacing w:after="80"/>
        <w:numPr>
          <w:ilvl w:val="0"/>
          <w:numId w:val="7"/>
        </w:numPr>
      </w:pPr>
      <w:r>
        <w:rPr/>
        <w:t xml:space="preserve">les catégories et le nombre approximatif de Personnes concernées, lorsque disponibles ;</w:t>
      </w:r>
    </w:p>
    <w:p>
      <w:pPr>
        <w:spacing w:after="80"/>
        <w:numPr>
          <w:ilvl w:val="0"/>
          <w:numId w:val="7"/>
        </w:numPr>
      </w:pPr>
      <w:r>
        <w:rPr/>
        <w:t xml:space="preserve">les catégories et le nombre approximatif d’enregistrements concernés, lorsque disponibles ;</w:t>
      </w:r>
    </w:p>
    <w:p>
      <w:pPr>
        <w:spacing w:after="80"/>
        <w:numPr>
          <w:ilvl w:val="0"/>
          <w:numId w:val="7"/>
        </w:numPr>
      </w:pPr>
      <w:r>
        <w:rPr/>
        <w:t xml:space="preserve">les conséquences probables de la violation ;</w:t>
      </w:r>
    </w:p>
    <w:p>
      <w:pPr>
        <w:spacing w:after="80"/>
        <w:numPr>
          <w:ilvl w:val="0"/>
          <w:numId w:val="7"/>
        </w:numPr>
      </w:pPr>
      <w:r>
        <w:rPr/>
        <w:t xml:space="preserve">les mesures prises ou proposées pour remédier à la violation ;</w:t>
      </w:r>
    </w:p>
    <w:p>
      <w:pPr>
        <w:spacing w:after="80"/>
        <w:numPr>
          <w:ilvl w:val="0"/>
          <w:numId w:val="7"/>
        </w:numPr>
      </w:pPr>
      <w:r>
        <w:rPr/>
        <w:t xml:space="preserve">les mesures proposées pour en atténuer les conséquences négatives ;</w:t>
      </w:r>
    </w:p>
    <w:p>
      <w:pPr>
        <w:spacing w:after="80"/>
        <w:numPr>
          <w:ilvl w:val="0"/>
          <w:numId w:val="7"/>
        </w:numPr>
      </w:pPr>
      <w:r>
        <w:rPr/>
        <w:t xml:space="preserve">le point de contact auprès duquel obtenir des informations complémentaires.</w:t>
      </w:r>
    </w:p>
    <w:p>
      <w:pPr>
        <w:pStyle w:val="Body"/>
      </w:pPr>
      <w:r>
        <w:rPr/>
        <w:t xml:space="preserve">Lorsque toutes les informations ne peuvent pas être fournies simultanément, AMBASSADIA SARL les communique de manière échelonnée, sans retard indu, conformément à l’article 33.4 du RGPD.</w:t>
      </w:r>
    </w:p>
    <w:p>
      <w:pPr>
        <w:pStyle w:val="Body"/>
      </w:pPr>
      <w:r>
        <w:rPr/>
        <w:t xml:space="preserve">Le Client demeure seul responsable des notifications à l’autorité de contrôle compétente prévues à l’article 33.1 du RGPD et, le cas échéant, des communications aux Personnes concernées prévues à l’article 34 du RGPD, sauf instruction écrite contraire.</w:t>
      </w:r>
    </w:p>
    <w:p>
      <w:pPr>
        <w:pStyle w:val="H1"/>
      </w:pPr>
      <w:r>
        <w:rPr>
          <w:color w:val="1F3A8A"/>
          <w:sz w:val="32"/>
          <w:szCs w:val="32"/>
          <w:b w:val="1"/>
          <w:bCs w:val="1"/>
        </w:rPr>
        <w:t xml:space="preserve">9. DROITS DES PERSONNES CONCERNÉES</w:t>
      </w:r>
    </w:p>
    <w:p>
      <w:pPr>
        <w:pStyle w:val="Body"/>
      </w:pPr>
      <w:r>
        <w:rPr/>
        <w:t xml:space="preserve">Le Client est responsable du traitement des demandes d’exercice des droits des Personnes concernées au titre des articles 12 à 22 du RGPD.</w:t>
      </w:r>
    </w:p>
    <w:p>
      <w:pPr>
        <w:pStyle w:val="Body"/>
      </w:pPr>
      <w:r>
        <w:rPr/>
        <w:t xml:space="preserve">AMBASSADIA SARL assiste le Client dans un délai de sept (7) jours ouvrés à compter de la réception d’une demande écrite complète du Client, sauf urgence motivée ou complexité particulière nécessitant un délai raisonnable supplémentaire.</w:t>
      </w:r>
    </w:p>
    <w:p>
      <w:pPr>
        <w:pStyle w:val="Body"/>
      </w:pPr>
      <w:r>
        <w:rPr/>
        <w:t xml:space="preserve">L’assistance peut porter sur les droits d’accès, de rectification, d’effacement, de limitation, de portabilité, d’opposition, ainsi que sur les demandes relatives à une décision individuelle automatisée lorsque ces droits sont applicables au Traitement concerné.</w:t>
      </w:r>
    </w:p>
    <w:p>
      <w:pPr>
        <w:pStyle w:val="Body"/>
      </w:pPr>
      <w:r>
        <w:rPr/>
        <w:t xml:space="preserve">Si AMBASSADIA SARL reçoit directement une demande d’une Personne concernée relative aux Données du Client, elle transmet cette demande au Client dans les meilleurs délais, lorsqu’elle est en mesure d’identifier le Client concerné, et s’abstient d’y répondre sur le fond sauf instruction documentée du Client ou obligation légale.</w:t>
      </w:r>
    </w:p>
    <w:p>
      <w:pPr>
        <w:pStyle w:val="Body"/>
      </w:pPr>
      <w:r>
        <w:rPr/>
        <w:t xml:space="preserve">Le Client reconnaît que certaines Données peuvent être contenues dans des enregistrements audio, transcriptions verbatim, documents préparatoires ou exports produits par ses utilisateurs. Il appartient au Client de déterminer les suites à donner aux demandes des Personnes concernées, notamment lorsque la demande suppose une appréciation juridique, une mise en balance de droits ou la conservation de preuves.</w:t>
      </w:r>
    </w:p>
    <w:p>
      <w:pPr>
        <w:pStyle w:val="H1"/>
      </w:pPr>
      <w:r>
        <w:rPr>
          <w:color w:val="1F3A8A"/>
          <w:sz w:val="32"/>
          <w:szCs w:val="32"/>
          <w:b w:val="1"/>
          <w:bCs w:val="1"/>
        </w:rPr>
        <w:t xml:space="preserve">10. AUDIT ET INSPECTION</w:t>
      </w:r>
    </w:p>
    <w:p>
      <w:pPr>
        <w:pStyle w:val="Body"/>
      </w:pPr>
      <w:r>
        <w:rPr/>
        <w:t xml:space="preserve">Le Client dispose d’un droit d’audit portant sur le respect par AMBASSADIA SARL des obligations prévues au présent Accord et à l’article 28 du RGPD.</w:t>
      </w:r>
    </w:p>
    <w:p>
      <w:pPr>
        <w:pStyle w:val="Body"/>
      </w:pPr>
      <w:r>
        <w:rPr/>
        <w:t xml:space="preserve">Sauf Incident de sécurité grave ou demande d’une autorité de contrôle, l’audit est limité à un (1) audit par année civile, avec un préavis écrit d’au moins trente (30) jours calendaires.</w:t>
      </w:r>
    </w:p>
    <w:p>
      <w:pPr>
        <w:pStyle w:val="Body"/>
      </w:pPr>
      <w:r>
        <w:rPr/>
        <w:t xml:space="preserve">L’audit est réalisé pendant les jours et heures ouvrés d’AMBASSADIA SARL, de manière à ne pas perturber la sécurité, la disponibilité ou la continuité du Service, ni la confidentialité des Données d’autres clients.</w:t>
      </w:r>
    </w:p>
    <w:p>
      <w:pPr>
        <w:pStyle w:val="Body"/>
      </w:pPr>
      <w:r>
        <w:rPr/>
        <w:t xml:space="preserve">Le Client peut mandater un auditeur tiers indépendant, sous réserve que celui-ci soit soumis à une obligation écrite de confidentialité, ne soit pas concurrent direct d’AMBASSADIA SARL et respecte les règles de sécurité applicables.</w:t>
      </w:r>
    </w:p>
    <w:p>
      <w:pPr>
        <w:pStyle w:val="Body"/>
      </w:pPr>
      <w:r>
        <w:rPr/>
        <w:t xml:space="preserve">Les frais internes et externes de l’audit, y compris les honoraires de l’auditeur mandaté par le Client, sont à la charge du Client. AMBASSADIA SARL peut facturer au Client le temps raisonnable consacré à la préparation, à l’accompagnement et au suivi de l’audit lorsque celui-ci excède les informations de conformité standard mises à disposition.</w:t>
      </w:r>
    </w:p>
    <w:p>
      <w:pPr>
        <w:pStyle w:val="Body"/>
      </w:pPr>
      <w:r>
        <w:rPr/>
        <w:t xml:space="preserve">L’audit ne peut conduire à accéder aux Données d’autres clients, aux secrets d’affaires d’AMBASSADIA SARL, au code source non concédé, aux informations de sécurité dont la divulgation créerait un risque disproportionné, ni aux informations couvertes par une obligation de confidentialité envers un tiers.</w:t>
      </w:r>
    </w:p>
    <w:p>
      <w:pPr>
        <w:pStyle w:val="Body"/>
      </w:pPr>
      <w:r>
        <w:rPr/>
        <w:t xml:space="preserve">Lorsque des non-conformités substantielles sont constatées, AMBASSADIA SARL établit un plan de remédiation proportionné et informe le Client de son avancement.</w:t>
      </w:r>
    </w:p>
    <w:p>
      <w:pPr>
        <w:pStyle w:val="H1"/>
      </w:pPr>
      <w:r>
        <w:rPr>
          <w:color w:val="1F3A8A"/>
          <w:sz w:val="32"/>
          <w:szCs w:val="32"/>
          <w:b w:val="1"/>
          <w:bCs w:val="1"/>
        </w:rPr>
        <w:t xml:space="preserve">11. RESTITUTION ET SUPPRESSION</w:t>
      </w:r>
    </w:p>
    <w:p>
      <w:pPr>
        <w:pStyle w:val="Body"/>
      </w:pPr>
      <w:r>
        <w:rPr/>
        <w:t xml:space="preserve">À la fin du Contrat principal, quelle qu’en soit la cause, le Client choisit par instruction écrite entre la restitution et la suppression des Données à caractère personnel traitées pour son compte.</w:t>
      </w:r>
    </w:p>
    <w:p>
      <w:pPr>
        <w:pStyle w:val="Body"/>
      </w:pPr>
      <w:r>
        <w:rPr/>
        <w:t xml:space="preserve">En cas de restitution, AMBASSADIA SARL met à disposition du Client, dans un format standard disponible dans le Service, les Données exportables, notamment comptes utilisateurs, métadonnées de sessions, transcriptions, documents, fichiers audio, journaux disponibles et exports générés, sous réserve des fonctionnalités effectivement souscrites et des limitations techniques documentées.</w:t>
      </w:r>
    </w:p>
    <w:p>
      <w:pPr>
        <w:pStyle w:val="Body"/>
      </w:pPr>
      <w:r>
        <w:rPr/>
        <w:t xml:space="preserve">En cas de suppression, AMBASSADIA SARL supprime les Données de production du Client dans un délai maximum de trente (30) jours calendaires suivant la fin effective du Contrat principal ou la réception de l’instruction écrite de suppression, la date la plus tardive étant retenue.</w:t>
      </w:r>
    </w:p>
    <w:p>
      <w:pPr>
        <w:pStyle w:val="Body"/>
      </w:pPr>
      <w:r>
        <w:rPr/>
        <w:t xml:space="preserve">Les sauvegardes techniques résiduelles sont purgées selon leur cycle normal de rotation, dans un délai maximum de quatre-vingt-dix (90) jours calendaires, sauf obligation légale de conservation, contentieux, sécurité ou nécessité de restauration.</w:t>
      </w:r>
    </w:p>
    <w:p>
      <w:pPr>
        <w:pStyle w:val="Body"/>
      </w:pPr>
      <w:r>
        <w:rPr/>
        <w:t xml:space="preserve">AMBASSADIA SARL fournit au Client, sur demande écrite, un certificat de suppression ou de restitution dans un délai de trente (30) jours calendaires après l’achèvement de l’opération concernée.</w:t>
      </w:r>
    </w:p>
    <w:p>
      <w:pPr>
        <w:pStyle w:val="Body"/>
      </w:pPr>
      <w:r>
        <w:rPr/>
        <w:t xml:space="preserve">Les embeddings vocaux temporaires utilisés pour la voice correlation sont exclus de toute restitution, dès lors qu’ils sont calculés temporairement en mémoire vive aux fins de suggestion d’identification de locuteurs et détruits à l’issue de la requête, sans constitution de gabarit biométrique persistant.</w:t>
      </w:r>
    </w:p>
    <w:p>
      <w:pPr>
        <w:pStyle w:val="H1"/>
      </w:pPr>
      <w:r>
        <w:rPr>
          <w:color w:val="1F3A8A"/>
          <w:sz w:val="32"/>
          <w:szCs w:val="32"/>
          <w:b w:val="1"/>
          <w:bCs w:val="1"/>
        </w:rPr>
        <w:t xml:space="preserve">12. RESPONSABILITÉ, INDEMNITÉS ET LIMITE</w:t>
      </w:r>
    </w:p>
    <w:p>
      <w:pPr>
        <w:pStyle w:val="Body"/>
      </w:pPr>
      <w:r>
        <w:rPr/>
        <w:t xml:space="preserve">Chaque Partie est responsable du respect des obligations qui lui incombent en vertu du RGPD, du droit français applicable, du Contrat principal et du présent Accord.</w:t>
      </w:r>
    </w:p>
    <w:p>
      <w:pPr>
        <w:pStyle w:val="Body"/>
      </w:pPr>
      <w:r>
        <w:rPr/>
        <w:t xml:space="preserve">AMBASSADIA SARL est responsable des dommages causés par un Traitement uniquement lorsqu’elle n’a pas respecté les obligations du RGPD qui incombent spécifiquement aux sous-traitants ou lorsqu’elle a agi en dehors des instructions licites du Client ou contrairement à celles-ci, conformément aux principes de l’article 82 du RGPD.</w:t>
      </w:r>
    </w:p>
    <w:p>
      <w:pPr>
        <w:pStyle w:val="Body"/>
      </w:pPr>
      <w:r>
        <w:rPr/>
        <w:t xml:space="preserve">Le Client est responsable des dommages résultant de ses finalités, bases légales, informations aux Personnes concernées, instructions, configurations, contenus uploadés, durées de conservation décidées, habilitations utilisateurs, traitements imposés à AMBASSADIA SARL ou défauts de sécurité relevant de son périmètre, notamment en Option B.</w:t>
      </w:r>
    </w:p>
    <w:p>
      <w:pPr>
        <w:pStyle w:val="Body"/>
      </w:pPr>
      <w:r>
        <w:rPr/>
        <w:t xml:space="preserve">Chaque Partie garantit l’autre contre les conséquences directes d’une réclamation, sanction, condamnation ou transaction résultant d’un manquement prouvé à ses propres obligations au titre du présent Accord, sous réserve que la Partie demandant garantie informe l’autre Partie sans retard indu, coopère raisonnablement à la défense et ne reconnaisse aucune responsabilité sans accord préalable écrit.</w:t>
      </w:r>
    </w:p>
    <w:p>
      <w:pPr>
        <w:pStyle w:val="Body"/>
      </w:pPr>
      <w:r>
        <w:rPr/>
        <w:t xml:space="preserve">Sauf stipulation impérative contraire, la responsabilité globale d’AMBASSADIA SARL au titre du présent Accord est soumise aux plafonds, exclusions et limitations prévus au Contrat principal.</w:t>
      </w:r>
    </w:p>
    <w:p>
      <w:pPr>
        <w:pStyle w:val="Body"/>
      </w:pPr>
      <w:r>
        <w:rPr/>
        <w:t xml:space="preserve">Aucune limitation de responsabilité ne s’applique en cas de fraude, faute dolosive, négligence grave, manquement intentionnel, violation volontaire des instructions documentées du Client, atteinte volontaire à la confidentialité des Données ou lorsque la loi interdit une telle limitation.</w:t>
      </w:r>
    </w:p>
    <w:p>
      <w:pPr>
        <w:pStyle w:val="H1"/>
      </w:pPr>
      <w:r>
        <w:rPr>
          <w:color w:val="1F3A8A"/>
          <w:sz w:val="32"/>
          <w:szCs w:val="32"/>
          <w:b w:val="1"/>
          <w:bCs w:val="1"/>
        </w:rPr>
        <w:t xml:space="preserve">13. DURÉE ET RÉSILIATION</w:t>
      </w:r>
    </w:p>
    <w:p>
      <w:pPr>
        <w:pStyle w:val="Body"/>
      </w:pPr>
      <w:r>
        <w:rPr/>
        <w:t xml:space="preserve">Le présent Accord entre en vigueur à la date indiquée en section 1 et demeure applicable pendant toute la durée du Contrat principal, tant qu’AMBASSADIA SARL traite des Données à caractère personnel pour le compte du Client.</w:t>
      </w:r>
    </w:p>
    <w:p>
      <w:pPr>
        <w:pStyle w:val="Body"/>
      </w:pPr>
      <w:r>
        <w:rPr/>
        <w:t xml:space="preserve">Le présent Accord prend fin automatiquement lorsque toutes les Données à caractère personnel traitées pour le compte du Client ont été restituées ou supprimées conformément à la section 11, sous réserve des obligations qui survivent à la fin du Contrat principal, notamment confidentialité, preuve, responsabilité, audit post-incident et conservation légalement requise.</w:t>
      </w:r>
    </w:p>
    <w:p>
      <w:pPr>
        <w:pStyle w:val="Body"/>
      </w:pPr>
      <w:r>
        <w:rPr/>
        <w:t xml:space="preserve">En cas de manquement grave d’une Partie à ses obligations RGPD ou au présent Accord, non réparé dans un délai de trente (30) jours calendaires suivant notification écrite motivée, l’autre Partie peut résilier le Contrat principal ou la partie du Service concernée, sans préjudice des dommages et intérêts éventuellement dus.</w:t>
      </w:r>
    </w:p>
    <w:p>
      <w:pPr>
        <w:pStyle w:val="Body"/>
      </w:pPr>
      <w:r>
        <w:rPr/>
        <w:t xml:space="preserve">En cas de manquement grave créant un risque imminent ou significatif pour les droits et libertés des Personnes concernées, la Partie non défaillante peut suspendre les traitements concernés ou résilier sans délai la partie du Service concernée, après notification écrite motivée, lorsque la poursuite du Traitement serait manifestement incompatible avec le RGPD.</w:t>
      </w:r>
    </w:p>
    <w:p>
      <w:pPr>
        <w:pStyle w:val="H1"/>
      </w:pPr>
      <w:r>
        <w:rPr>
          <w:color w:val="1F3A8A"/>
          <w:sz w:val="32"/>
          <w:szCs w:val="32"/>
          <w:b w:val="1"/>
          <w:bCs w:val="1"/>
        </w:rPr>
        <w:t xml:space="preserve">14. STIPULATIONS FINALES</w:t>
      </w:r>
    </w:p>
    <w:p>
      <w:pPr>
        <w:pStyle w:val="Body"/>
      </w:pPr>
      <w:r>
        <w:rPr/>
        <w:t xml:space="preserve">Le présent Accord est régi par le droit français.</w:t>
      </w:r>
    </w:p>
    <w:p>
      <w:pPr>
        <w:pStyle w:val="Body"/>
      </w:pPr>
      <w:r>
        <w:rPr/>
        <w:t xml:space="preserve">Tout différend relatif à la validité, l’interprétation, l’exécution ou la résiliation du présent Accord relève de la compétence des juridictions compétentes de Paris, sauf disposition impérative contraire applicable au Client.</w:t>
      </w:r>
    </w:p>
    <w:p>
      <w:pPr>
        <w:pStyle w:val="Body"/>
      </w:pPr>
      <w:r>
        <w:rPr/>
        <w:t xml:space="preserve">La langue française fait foi. Toute traduction du présent Accord est fournie à titre de commodité uniquement.</w:t>
      </w:r>
    </w:p>
    <w:p>
      <w:pPr>
        <w:pStyle w:val="Body"/>
      </w:pPr>
      <w:r>
        <w:rPr/>
        <w:t xml:space="preserve">Si une stipulation du présent Accord est déclarée nulle, inapplicable ou non écrite, les autres stipulations demeurent pleinement applicables. Les Parties remplacent la stipulation concernée par une clause valide produisant un effet économique et juridique aussi proche que possible.</w:t>
      </w:r>
    </w:p>
    <w:p>
      <w:pPr>
        <w:pStyle w:val="Body"/>
      </w:pPr>
      <w:r>
        <w:rPr/>
        <w:t xml:space="preserve">Toute modification du présent Accord doit être formalisée par avenant écrit ou par mise à jour contractuelle acceptée par les Parties. Les modifications imposées par une évolution légale, réglementaire ou par une autorité compétente peuvent être proposées par AMBASSADIA SARL avec un préavis raisonnable.</w:t>
      </w:r>
    </w:p>
    <w:p>
      <w:pPr>
        <w:pStyle w:val="Body"/>
      </w:pPr>
      <w:r>
        <w:rPr/>
        <w:t xml:space="preserve">Le présent Accord peut être signé manuscritement ou par signature électronique simple. La signature électronique simple vaut preuve de l’accord des Parties, sous réserve des règles de preuve applicables.</w:t>
      </w:r>
    </w:p>
    <w:tbl>
      <w:tblGrid>
        <w:gridCol/>
        <w:gridCol/>
      </w:tblGrid>
      <w:tblPr>
        <w:tblStyle w:val="DpaTable"/>
      </w:tblPr>
      <w:tr>
        <w:trPr/>
        <w:tc>
          <w:tcPr>
            <w:shd w:val="clear" w:fill="E5E7EB"/>
            <w:noWrap/>
          </w:tcPr>
          <w:p>
            <w:pPr/>
            <w:r>
              <w:rPr>
                <w:sz w:val="20"/>
                <w:szCs w:val="20"/>
                <w:b w:val="1"/>
                <w:bCs w:val="1"/>
              </w:rPr>
              <w:t xml:space="preserve">Pour le Client</w:t>
            </w:r>
          </w:p>
        </w:tc>
        <w:tc>
          <w:tcPr>
            <w:shd w:val="clear" w:fill="E5E7EB"/>
            <w:noWrap/>
          </w:tcPr>
          <w:p>
            <w:pPr/>
            <w:r>
              <w:rPr>
                <w:sz w:val="20"/>
                <w:szCs w:val="20"/>
                <w:b w:val="1"/>
                <w:bCs w:val="1"/>
              </w:rPr>
              <w:t xml:space="preserve">Pour le Sous-traitant</w:t>
            </w:r>
          </w:p>
        </w:tc>
      </w:tr>
      <w:tr>
        <w:trPr/>
        <w:tc>
          <w:tcPr>
            <w:noWrap/>
          </w:tcPr>
          <w:p>
            <w:pPr/>
            <w:r>
              <w:rPr/>
              <w:t xml:space="preserve">Nom : [à compléter par le client]</w:t>
            </w:r>
          </w:p>
        </w:tc>
        <w:tc>
          <w:tcPr>
            <w:noWrap/>
          </w:tcPr>
          <w:p>
            <w:pPr/>
            <w:r>
              <w:rPr/>
              <w:t xml:space="preserve">Nom : Olivier Dupont</w:t>
            </w:r>
          </w:p>
        </w:tc>
      </w:tr>
      <w:tr>
        <w:trPr/>
        <w:tc>
          <w:tcPr>
            <w:shd w:val="clear" w:fill="F9FAFB"/>
            <w:noWrap/>
          </w:tcPr>
          <w:p>
            <w:pPr/>
            <w:r>
              <w:rPr/>
              <w:t xml:space="preserve">Qualité : [à compléter par le client]</w:t>
            </w:r>
          </w:p>
        </w:tc>
        <w:tc>
          <w:tcPr>
            <w:shd w:val="clear" w:fill="F9FAFB"/>
            <w:noWrap/>
          </w:tcPr>
          <w:p>
            <w:pPr/>
            <w:r>
              <w:rPr/>
              <w:t xml:space="preserve">Qualité : Gérant</w:t>
            </w:r>
          </w:p>
        </w:tc>
      </w:tr>
      <w:tr>
        <w:trPr/>
        <w:tc>
          <w:tcPr>
            <w:noWrap/>
          </w:tcPr>
          <w:p>
            <w:pPr/>
            <w:r>
              <w:rPr/>
              <w:t xml:space="preserve">Date : [date à compléter]</w:t>
            </w:r>
          </w:p>
        </w:tc>
        <w:tc>
          <w:tcPr>
            <w:noWrap/>
          </w:tcPr>
          <w:p>
            <w:pPr/>
            <w:r>
              <w:rPr/>
              <w:t xml:space="preserve">Date : [date à compléter]</w:t>
            </w:r>
          </w:p>
        </w:tc>
      </w:tr>
      <w:tr>
        <w:trPr/>
        <w:tc>
          <w:tcPr>
            <w:shd w:val="clear" w:fill="F9FAFB"/>
            <w:noWrap/>
          </w:tcPr>
          <w:p>
            <w:pPr/>
            <w:r>
              <w:rPr/>
              <w:t xml:space="preserve">Signature :</w:t>
            </w:r>
          </w:p>
        </w:tc>
        <w:tc>
          <w:tcPr>
            <w:shd w:val="clear" w:fill="F9FAFB"/>
            <w:noWrap/>
          </w:tcPr>
          <w:p>
            <w:pPr/>
            <w:r>
              <w:rPr/>
              <w:t xml:space="preserve">Signature :</w:t>
            </w:r>
          </w:p>
        </w:tc>
      </w:tr>
    </w:tbl>
    <w:p/>
    <w:p>
      <w:pPr>
        <w:pStyle w:val="H1"/>
      </w:pPr>
      <w:r>
        <w:rPr>
          <w:color w:val="1F3A8A"/>
          <w:sz w:val="32"/>
          <w:szCs w:val="32"/>
          <w:b w:val="1"/>
          <w:bCs w:val="1"/>
        </w:rPr>
        <w:t xml:space="preserve">ANNEXE 1 — DESCRIPTION DÉTAILLÉE DU TRAITEMENT</w:t>
      </w:r>
    </w:p>
    <w:tbl>
      <w:tblGrid>
        <w:gridCol/>
        <w:gridCol/>
      </w:tblGrid>
      <w:tblPr>
        <w:tblStyle w:val="DpaTable"/>
      </w:tblPr>
      <w:tr>
        <w:trPr/>
        <w:tc>
          <w:tcPr>
            <w:shd w:val="clear" w:fill="E5E7EB"/>
            <w:noWrap/>
          </w:tcPr>
          <w:p>
            <w:pPr/>
            <w:r>
              <w:rPr>
                <w:sz w:val="20"/>
                <w:szCs w:val="20"/>
                <w:b w:val="1"/>
                <w:bCs w:val="1"/>
              </w:rPr>
              <w:t xml:space="preserve">Élément</w:t>
            </w:r>
          </w:p>
        </w:tc>
        <w:tc>
          <w:tcPr>
            <w:shd w:val="clear" w:fill="E5E7EB"/>
            <w:noWrap/>
          </w:tcPr>
          <w:p>
            <w:pPr/>
            <w:r>
              <w:rPr>
                <w:sz w:val="20"/>
                <w:szCs w:val="20"/>
                <w:b w:val="1"/>
                <w:bCs w:val="1"/>
              </w:rPr>
              <w:t xml:space="preserve">Description</w:t>
            </w:r>
          </w:p>
        </w:tc>
      </w:tr>
      <w:tr>
        <w:trPr/>
        <w:tc>
          <w:tcPr>
            <w:noWrap/>
          </w:tcPr>
          <w:p>
            <w:pPr/>
            <w:r>
              <w:rPr/>
              <w:t xml:space="preserve">Service</w:t>
            </w:r>
          </w:p>
        </w:tc>
        <w:tc>
          <w:tcPr>
            <w:noWrap/>
          </w:tcPr>
          <w:p>
            <w:pPr/>
            <w:r>
              <w:rPr/>
              <w:t xml:space="preserve">TranscribIA</w:t>
            </w:r>
          </w:p>
        </w:tc>
      </w:tr>
      <w:tr>
        <w:trPr/>
        <w:tc>
          <w:tcPr>
            <w:shd w:val="clear" w:fill="F9FAFB"/>
            <w:noWrap/>
          </w:tcPr>
          <w:p>
            <w:pPr/>
            <w:r>
              <w:rPr/>
              <w:t xml:space="preserve">Sous-traitant</w:t>
            </w:r>
          </w:p>
        </w:tc>
        <w:tc>
          <w:tcPr>
            <w:shd w:val="clear" w:fill="F9FAFB"/>
            <w:noWrap/>
          </w:tcPr>
          <w:p>
            <w:pPr/>
            <w:r>
              <w:rPr/>
              <w:t xml:space="preserve">AMBASSADIA SARL</w:t>
            </w:r>
          </w:p>
        </w:tc>
      </w:tr>
      <w:tr>
        <w:trPr/>
        <w:tc>
          <w:tcPr>
            <w:noWrap/>
          </w:tcPr>
          <w:p>
            <w:pPr/>
            <w:r>
              <w:rPr/>
              <w:t xml:space="preserve">Responsable du traitement</w:t>
            </w:r>
          </w:p>
        </w:tc>
        <w:tc>
          <w:tcPr>
            <w:noWrap/>
          </w:tcPr>
          <w:p>
            <w:pPr/>
            <w:r>
              <w:rPr/>
              <w:t xml:space="preserve">Le Client</w:t>
            </w:r>
          </w:p>
        </w:tc>
      </w:tr>
      <w:tr>
        <w:trPr/>
        <w:tc>
          <w:tcPr>
            <w:shd w:val="clear" w:fill="F9FAFB"/>
            <w:noWrap/>
          </w:tcPr>
          <w:p>
            <w:pPr/>
            <w:r>
              <w:rPr/>
              <w:t xml:space="preserve">Objet du Traitement</w:t>
            </w:r>
          </w:p>
        </w:tc>
        <w:tc>
          <w:tcPr>
            <w:shd w:val="clear" w:fill="F9FAFB"/>
            <w:noWrap/>
          </w:tcPr>
          <w:p>
            <w:pPr/>
            <w:r>
              <w:rPr/>
              <w:t xml:space="preserve">Fourniture d’une solution de transcription audio, diarisation, structuration de transcriptions, exploitation IA, génération de documents, gestion de sessions, gestion des utilisateurs, journalisation et suggestion d’identification de locuteurs</w:t>
            </w:r>
          </w:p>
        </w:tc>
      </w:tr>
      <w:tr>
        <w:trPr/>
        <w:tc>
          <w:tcPr>
            <w:noWrap/>
          </w:tcPr>
          <w:p>
            <w:pPr/>
            <w:r>
              <w:rPr/>
              <w:t xml:space="preserve">Nature du Traitement</w:t>
            </w:r>
          </w:p>
        </w:tc>
        <w:tc>
          <w:tcPr>
            <w:noWrap/>
          </w:tcPr>
          <w:p>
            <w:pPr/>
            <w:r>
              <w:rPr/>
              <w:t xml:space="preserve">Collecte par upload, hébergement, stockage, organisation, consultation, extraction, transcription, diarisation, correction, génération IA, export, journalisation, sauvegarde, suppression et assistance technique</w:t>
            </w:r>
          </w:p>
        </w:tc>
      </w:tr>
      <w:tr>
        <w:trPr/>
        <w:tc>
          <w:tcPr>
            <w:shd w:val="clear" w:fill="F9FAFB"/>
            <w:noWrap/>
          </w:tcPr>
          <w:p>
            <w:pPr/>
            <w:r>
              <w:rPr/>
              <w:t xml:space="preserve">Finalités du Traitement</w:t>
            </w:r>
          </w:p>
        </w:tc>
        <w:tc>
          <w:tcPr>
            <w:shd w:val="clear" w:fill="F9FAFB"/>
            <w:noWrap/>
          </w:tcPr>
          <w:p>
            <w:pPr/>
            <w:r>
              <w:rPr/>
              <w:t xml:space="preserve">Permettre au Client de créer des sessions, téléverser des fichiers audio, obtenir des transcriptions, gérer des intervenants, corriger ou enrichir des contenus, produire des résumés, procès-verbaux, chapitrages ou analyses, gérer des documents préparatoires, assurer la traçabilité et administrer les accès</w:t>
            </w:r>
          </w:p>
        </w:tc>
      </w:tr>
      <w:tr>
        <w:trPr/>
        <w:tc>
          <w:tcPr>
            <w:noWrap/>
          </w:tcPr>
          <w:p>
            <w:pPr/>
            <w:r>
              <w:rPr/>
              <w:t xml:space="preserve">Option A — SaaS</w:t>
            </w:r>
          </w:p>
        </w:tc>
        <w:tc>
          <w:tcPr>
            <w:noWrap/>
          </w:tcPr>
          <w:p>
            <w:pPr/>
            <w:r>
              <w:rPr/>
              <w:t xml:space="preserve">[ ] Activée. AMBASSADIA SARL héberge et exploite le Service pour le compte du Client</w:t>
            </w:r>
          </w:p>
        </w:tc>
      </w:tr>
      <w:tr>
        <w:trPr/>
        <w:tc>
          <w:tcPr>
            <w:shd w:val="clear" w:fill="F9FAFB"/>
            <w:noWrap/>
          </w:tcPr>
          <w:p>
            <w:pPr/>
            <w:r>
              <w:rPr/>
              <w:t xml:space="preserve">Option B — On-premise Docker</w:t>
            </w:r>
          </w:p>
        </w:tc>
        <w:tc>
          <w:tcPr>
            <w:shd w:val="clear" w:fill="F9FAFB"/>
            <w:noWrap/>
          </w:tcPr>
          <w:p>
            <w:pPr/>
            <w:r>
              <w:rPr/>
              <w:t xml:space="preserve">[ ] Activée. Le Client héberge l’environnement ; AMBASSADIA SARL intervient uniquement pour les opérations sous-traitées effectivement réalisées</w:t>
            </w:r>
          </w:p>
        </w:tc>
      </w:tr>
      <w:tr>
        <w:trPr/>
        <w:tc>
          <w:tcPr>
            <w:noWrap/>
          </w:tcPr>
          <w:p>
            <w:pPr/>
            <w:r>
              <w:rPr/>
              <w:t xml:space="preserve">Durée du Traitement</w:t>
            </w:r>
          </w:p>
        </w:tc>
        <w:tc>
          <w:tcPr>
            <w:noWrap/>
          </w:tcPr>
          <w:p>
            <w:pPr/>
            <w:r>
              <w:rPr/>
              <w:t xml:space="preserve">Durée du Contrat principal, augmentée des délais de restitution, suppression, sauvegarde résiduelle et conservation légale applicables</w:t>
            </w:r>
          </w:p>
        </w:tc>
      </w:tr>
      <w:tr>
        <w:trPr/>
        <w:tc>
          <w:tcPr>
            <w:shd w:val="clear" w:fill="F9FAFB"/>
            <w:noWrap/>
          </w:tcPr>
          <w:p>
            <w:pPr/>
            <w:r>
              <w:rPr/>
              <w:t xml:space="preserve">Fréquence du Traitement</w:t>
            </w:r>
          </w:p>
        </w:tc>
        <w:tc>
          <w:tcPr>
            <w:shd w:val="clear" w:fill="F9FAFB"/>
            <w:noWrap/>
          </w:tcPr>
          <w:p>
            <w:pPr/>
            <w:r>
              <w:rPr/>
              <w:t xml:space="preserve">Continue pour les fonctions SaaS ; ponctuelle ou selon activation par le Client pour transcription, IA, support, export, voice correlation ou maintenance</w:t>
            </w:r>
          </w:p>
        </w:tc>
      </w:tr>
      <w:tr>
        <w:trPr/>
        <w:tc>
          <w:tcPr>
            <w:noWrap/>
          </w:tcPr>
          <w:p>
            <w:pPr/>
            <w:r>
              <w:rPr/>
              <w:t xml:space="preserve">Personnes autorisées côté Client</w:t>
            </w:r>
          </w:p>
        </w:tc>
        <w:tc>
          <w:tcPr>
            <w:noWrap/>
          </w:tcPr>
          <w:p>
            <w:pPr/>
            <w:r>
              <w:rPr/>
              <w:t xml:space="preserve">Utilisateurs créés ou invités par le Client : administrateurs, managers, team leads, utilisateurs, agents autorisés, membres d’équipes</w:t>
            </w:r>
          </w:p>
        </w:tc>
      </w:tr>
      <w:tr>
        <w:trPr/>
        <w:tc>
          <w:tcPr>
            <w:shd w:val="clear" w:fill="F9FAFB"/>
            <w:noWrap/>
          </w:tcPr>
          <w:p>
            <w:pPr/>
            <w:r>
              <w:rPr/>
              <w:t xml:space="preserve">Personnes autorisées côté Sous-traitant</w:t>
            </w:r>
          </w:p>
        </w:tc>
        <w:tc>
          <w:tcPr>
            <w:shd w:val="clear" w:fill="F9FAFB"/>
            <w:noWrap/>
          </w:tcPr>
          <w:p>
            <w:pPr/>
            <w:r>
              <w:rPr/>
              <w:t xml:space="preserve">Personnel habilité d’AMBASSADIA SARL et Sous-traitants ultérieurs autorisés, dans la limite du besoin d’en connaître</w:t>
            </w:r>
          </w:p>
        </w:tc>
      </w:tr>
    </w:tbl>
    <w:p/>
    <w:p>
      <w:pPr>
        <w:pStyle w:val="Body"/>
      </w:pPr>
      <w:r>
        <w:rPr/>
        <w:t xml:space="preserve">CATÉGORIES DE DONNÉES TRAITÉES</w:t>
      </w:r>
    </w:p>
    <w:tbl>
      <w:tblGrid>
        <w:gridCol/>
        <w:gridCol/>
      </w:tblGrid>
      <w:tblPr>
        <w:tblStyle w:val="DpaTable"/>
      </w:tblPr>
      <w:tr>
        <w:trPr/>
        <w:tc>
          <w:tcPr>
            <w:shd w:val="clear" w:fill="E5E7EB"/>
            <w:noWrap/>
          </w:tcPr>
          <w:p>
            <w:pPr/>
            <w:r>
              <w:rPr>
                <w:sz w:val="20"/>
                <w:szCs w:val="20"/>
                <w:b w:val="1"/>
                <w:bCs w:val="1"/>
              </w:rPr>
              <w:t xml:space="preserve">Catégorie</w:t>
            </w:r>
          </w:p>
        </w:tc>
        <w:tc>
          <w:tcPr>
            <w:shd w:val="clear" w:fill="E5E7EB"/>
            <w:noWrap/>
          </w:tcPr>
          <w:p>
            <w:pPr/>
            <w:r>
              <w:rPr>
                <w:sz w:val="20"/>
                <w:szCs w:val="20"/>
                <w:b w:val="1"/>
                <w:bCs w:val="1"/>
              </w:rPr>
              <w:t xml:space="preserve">Exemples</w:t>
            </w:r>
          </w:p>
        </w:tc>
      </w:tr>
      <w:tr>
        <w:trPr/>
        <w:tc>
          <w:tcPr>
            <w:noWrap/>
          </w:tcPr>
          <w:p>
            <w:pPr/>
            <w:r>
              <w:rPr/>
              <w:t xml:space="preserve">Enregistrements audio et vidéo éventuelle</w:t>
            </w:r>
          </w:p>
        </w:tc>
        <w:tc>
          <w:tcPr>
            <w:noWrap/>
          </w:tcPr>
          <w:p>
            <w:pPr/>
            <w:r>
              <w:rPr/>
              <w:t xml:space="preserve">Fichiers mp3, wav, ogg, m4a, flac, webm, mp4, avi, mkv, mov, wmv téléversés par le Client</w:t>
            </w:r>
          </w:p>
        </w:tc>
      </w:tr>
      <w:tr>
        <w:trPr/>
        <w:tc>
          <w:tcPr>
            <w:shd w:val="clear" w:fill="F9FAFB"/>
            <w:noWrap/>
          </w:tcPr>
          <w:p>
            <w:pPr/>
            <w:r>
              <w:rPr/>
              <w:t xml:space="preserve">Transcriptions</w:t>
            </w:r>
          </w:p>
        </w:tc>
        <w:tc>
          <w:tcPr>
            <w:shd w:val="clear" w:fill="F9FAFB"/>
            <w:noWrap/>
          </w:tcPr>
          <w:p>
            <w:pPr/>
            <w:r>
              <w:rPr/>
              <w:t xml:space="preserve">JSON de transcription, segments, horodatages, verbatim, versions, corrections, chapitres, diarisation</w:t>
            </w:r>
          </w:p>
        </w:tc>
      </w:tr>
      <w:tr>
        <w:trPr/>
        <w:tc>
          <w:tcPr>
            <w:noWrap/>
          </w:tcPr>
          <w:p>
            <w:pPr/>
            <w:r>
              <w:rPr/>
              <w:t xml:space="preserve">Données d’intervenants</w:t>
            </w:r>
          </w:p>
        </w:tc>
        <w:tc>
          <w:tcPr>
            <w:noWrap/>
          </w:tcPr>
          <w:p>
            <w:pPr/>
            <w:r>
              <w:rPr/>
              <w:t xml:space="preserve">Noms d’intervenants saisis par les utilisateurs, libellés de locuteurs, correspondances proposées, corrections humaines</w:t>
            </w:r>
          </w:p>
        </w:tc>
      </w:tr>
      <w:tr>
        <w:trPr/>
        <w:tc>
          <w:tcPr>
            <w:shd w:val="clear" w:fill="F9FAFB"/>
            <w:noWrap/>
          </w:tcPr>
          <w:p>
            <w:pPr/>
            <w:r>
              <w:rPr/>
              <w:t xml:space="preserve">Documents préparatoires</w:t>
            </w:r>
          </w:p>
        </w:tc>
        <w:tc>
          <w:tcPr>
            <w:shd w:val="clear" w:fill="F9FAFB"/>
            <w:noWrap/>
          </w:tcPr>
          <w:p>
            <w:pPr/>
            <w:r>
              <w:rPr/>
              <w:t xml:space="preserve">Ordres du jour, procès-verbaux antérieurs, notes, documents PDF/DOCX, texte ou markdown extrait</w:t>
            </w:r>
          </w:p>
        </w:tc>
      </w:tr>
      <w:tr>
        <w:trPr/>
        <w:tc>
          <w:tcPr>
            <w:noWrap/>
          </w:tcPr>
          <w:p>
            <w:pPr/>
            <w:r>
              <w:rPr/>
              <w:t xml:space="preserve">Métadonnées de session</w:t>
            </w:r>
          </w:p>
        </w:tc>
        <w:tc>
          <w:tcPr>
            <w:noWrap/>
          </w:tcPr>
          <w:p>
            <w:pPr/>
            <w:r>
              <w:rPr/>
              <w:t xml:space="preserve">Titre, date, lieu, type de session, statut, agenda, équipe, organisation, fichiers liés, paramètres fonctionnels</w:t>
            </w:r>
          </w:p>
        </w:tc>
      </w:tr>
      <w:tr>
        <w:trPr/>
        <w:tc>
          <w:tcPr>
            <w:shd w:val="clear" w:fill="F9FAFB"/>
            <w:noWrap/>
          </w:tcPr>
          <w:p>
            <w:pPr/>
            <w:r>
              <w:rPr/>
              <w:t xml:space="preserve">Comptes utilisateurs</w:t>
            </w:r>
          </w:p>
        </w:tc>
        <w:tc>
          <w:tcPr>
            <w:shd w:val="clear" w:fill="F9FAFB"/>
            <w:noWrap/>
          </w:tcPr>
          <w:p>
            <w:pPr/>
            <w:r>
              <w:rPr/>
              <w:t xml:space="preserve">Nom, prénom le cas échéant, email, rôle, organisation, équipe, statut de compte, jetons d’accès, date de connexion</w:t>
            </w:r>
          </w:p>
        </w:tc>
      </w:tr>
      <w:tr>
        <w:trPr/>
        <w:tc>
          <w:tcPr>
            <w:noWrap/>
          </w:tcPr>
          <w:p>
            <w:pPr/>
            <w:r>
              <w:rPr/>
              <w:t xml:space="preserve">Logs d’audit et traces techniques</w:t>
            </w:r>
          </w:p>
        </w:tc>
        <w:tc>
          <w:tcPr>
            <w:noWrap/>
          </w:tcPr>
          <w:p>
            <w:pPr/>
            <w:r>
              <w:rPr/>
              <w:t xml:space="preserve">Identifiants utilisateurs, actions, dates, adresses IP lorsque collectées, événements applicatifs, erreurs, correlation IDs</w:t>
            </w:r>
          </w:p>
        </w:tc>
      </w:tr>
      <w:tr>
        <w:trPr/>
        <w:tc>
          <w:tcPr>
            <w:shd w:val="clear" w:fill="F9FAFB"/>
            <w:noWrap/>
          </w:tcPr>
          <w:p>
            <w:pPr/>
            <w:r>
              <w:rPr/>
              <w:t xml:space="preserve">Générations IA</w:t>
            </w:r>
          </w:p>
        </w:tc>
        <w:tc>
          <w:tcPr>
            <w:shd w:val="clear" w:fill="F9FAFB"/>
            <w:noWrap/>
          </w:tcPr>
          <w:p>
            <w:pPr/>
            <w:r>
              <w:rPr/>
              <w:t xml:space="preserve">Prompts, sources sélectionnées, réponses générées, résumés, analyses, corrections, procès-verbaux, exports</w:t>
            </w:r>
          </w:p>
        </w:tc>
      </w:tr>
      <w:tr>
        <w:trPr/>
        <w:tc>
          <w:tcPr>
            <w:noWrap/>
          </w:tcPr>
          <w:p>
            <w:pPr/>
            <w:r>
              <w:rPr/>
              <w:t xml:space="preserve">Données de vote ou présence si activées</w:t>
            </w:r>
          </w:p>
        </w:tc>
        <w:tc>
          <w:tcPr>
            <w:noWrap/>
          </w:tcPr>
          <w:p>
            <w:pPr/>
            <w:r>
              <w:rPr/>
              <w:t xml:space="preserve">Présences, absences, procurations, résultats de vote, qualité ou fonction des participants</w:t>
            </w:r>
          </w:p>
        </w:tc>
      </w:tr>
      <w:tr>
        <w:trPr/>
        <w:tc>
          <w:tcPr>
            <w:shd w:val="clear" w:fill="F9FAFB"/>
            <w:noWrap/>
          </w:tcPr>
          <w:p>
            <w:pPr/>
            <w:r>
              <w:rPr/>
              <w:t xml:space="preserve">Embeddings vocaux temporaires</w:t>
            </w:r>
          </w:p>
        </w:tc>
        <w:tc>
          <w:tcPr>
            <w:shd w:val="clear" w:fill="F9FAFB"/>
            <w:noWrap/>
          </w:tcPr>
          <w:p>
            <w:pPr/>
            <w:r>
              <w:rPr/>
              <w:t xml:space="preserve">Représentations numériques calculées temporairement en mémoire vive pour la voice correlation, détruites à l’issue de la requête</w:t>
            </w:r>
          </w:p>
        </w:tc>
      </w:tr>
    </w:tbl>
    <w:p/>
    <w:p>
      <w:pPr>
        <w:pStyle w:val="Body"/>
      </w:pPr>
      <w:r>
        <w:rPr/>
        <w:t xml:space="preserve">CATÉGORIES DE PERSONNES CONCERNÉES</w:t>
      </w:r>
    </w:p>
    <w:tbl>
      <w:tblGrid>
        <w:gridCol/>
        <w:gridCol/>
      </w:tblGrid>
      <w:tblPr>
        <w:tblStyle w:val="DpaTable"/>
      </w:tblPr>
      <w:tr>
        <w:trPr/>
        <w:tc>
          <w:tcPr>
            <w:shd w:val="clear" w:fill="E5E7EB"/>
            <w:noWrap/>
          </w:tcPr>
          <w:p>
            <w:pPr/>
            <w:r>
              <w:rPr>
                <w:sz w:val="20"/>
                <w:szCs w:val="20"/>
                <w:b w:val="1"/>
                <w:bCs w:val="1"/>
              </w:rPr>
              <w:t xml:space="preserve">Catégorie</w:t>
            </w:r>
          </w:p>
        </w:tc>
        <w:tc>
          <w:tcPr>
            <w:shd w:val="clear" w:fill="E5E7EB"/>
            <w:noWrap/>
          </w:tcPr>
          <w:p>
            <w:pPr/>
            <w:r>
              <w:rPr>
                <w:sz w:val="20"/>
                <w:szCs w:val="20"/>
                <w:b w:val="1"/>
                <w:bCs w:val="1"/>
              </w:rPr>
              <w:t xml:space="preserve">Description</w:t>
            </w:r>
          </w:p>
        </w:tc>
      </w:tr>
      <w:tr>
        <w:trPr/>
        <w:tc>
          <w:tcPr>
            <w:noWrap/>
          </w:tcPr>
          <w:p>
            <w:pPr/>
            <w:r>
              <w:rPr/>
              <w:t xml:space="preserve">Utilisateurs du Client</w:t>
            </w:r>
          </w:p>
        </w:tc>
        <w:tc>
          <w:tcPr>
            <w:noWrap/>
          </w:tcPr>
          <w:p>
            <w:pPr/>
            <w:r>
              <w:rPr/>
              <w:t xml:space="preserve">Agents, salariés, élus, praticiens, avocats, notaires, enseignants, journalistes, administrateurs, membres d’équipes</w:t>
            </w:r>
          </w:p>
        </w:tc>
      </w:tr>
      <w:tr>
        <w:trPr/>
        <w:tc>
          <w:tcPr>
            <w:shd w:val="clear" w:fill="F9FAFB"/>
            <w:noWrap/>
          </w:tcPr>
          <w:p>
            <w:pPr/>
            <w:r>
              <w:rPr/>
              <w:t xml:space="preserve">Intervenants enregistrés</w:t>
            </w:r>
          </w:p>
        </w:tc>
        <w:tc>
          <w:tcPr>
            <w:shd w:val="clear" w:fill="F9FAFB"/>
            <w:noWrap/>
          </w:tcPr>
          <w:p>
            <w:pPr/>
            <w:r>
              <w:rPr/>
              <w:t xml:space="preserve">Participants dont la voix est captée dans les fichiers audio ou vidéo téléversés</w:t>
            </w:r>
          </w:p>
        </w:tc>
      </w:tr>
      <w:tr>
        <w:trPr/>
        <w:tc>
          <w:tcPr>
            <w:noWrap/>
          </w:tcPr>
          <w:p>
            <w:pPr/>
            <w:r>
              <w:rPr/>
              <w:t xml:space="preserve">Personnes mentionnées</w:t>
            </w:r>
          </w:p>
        </w:tc>
        <w:tc>
          <w:tcPr>
            <w:noWrap/>
          </w:tcPr>
          <w:p>
            <w:pPr/>
            <w:r>
              <w:rPr/>
              <w:t xml:space="preserve">Personnes citées dans les réunions, transcriptions, documents préparatoires, votes, procès-verbaux ou générations IA</w:t>
            </w:r>
          </w:p>
        </w:tc>
      </w:tr>
      <w:tr>
        <w:trPr/>
        <w:tc>
          <w:tcPr>
            <w:shd w:val="clear" w:fill="F9FAFB"/>
            <w:noWrap/>
          </w:tcPr>
          <w:p>
            <w:pPr/>
            <w:r>
              <w:rPr/>
              <w:t xml:space="preserve">Contacts institutionnels</w:t>
            </w:r>
          </w:p>
        </w:tc>
        <w:tc>
          <w:tcPr>
            <w:shd w:val="clear" w:fill="F9FAFB"/>
            <w:noWrap/>
          </w:tcPr>
          <w:p>
            <w:pPr/>
            <w:r>
              <w:rPr/>
              <w:t xml:space="preserve">Membres de conseil, élus, collaborateurs, représentants, participants invités</w:t>
            </w:r>
          </w:p>
        </w:tc>
      </w:tr>
      <w:tr>
        <w:trPr/>
        <w:tc>
          <w:tcPr>
            <w:noWrap/>
          </w:tcPr>
          <w:p>
            <w:pPr/>
            <w:r>
              <w:rPr/>
              <w:t xml:space="preserve">Personnel AMBASSADIA SARL</w:t>
            </w:r>
          </w:p>
        </w:tc>
        <w:tc>
          <w:tcPr>
            <w:noWrap/>
          </w:tcPr>
          <w:p>
            <w:pPr/>
            <w:r>
              <w:rPr/>
              <w:t xml:space="preserve">Uniquement pour les traces d’intervention, support, sécurité ou audit interne liées au Service</w:t>
            </w:r>
          </w:p>
        </w:tc>
      </w:tr>
    </w:tbl>
    <w:p/>
    <w:p>
      <w:pPr>
        <w:pStyle w:val="Body"/>
      </w:pPr>
      <w:r>
        <w:rPr/>
        <w:t xml:space="preserve">DURÉES DE CONSERVATION PAR CATÉGORIE</w:t>
      </w:r>
    </w:p>
    <w:tbl>
      <w:tblGrid>
        <w:gridCol/>
        <w:gridCol/>
      </w:tblGrid>
      <w:tblPr>
        <w:tblStyle w:val="DpaTable"/>
      </w:tblPr>
      <w:tr>
        <w:trPr/>
        <w:tc>
          <w:tcPr>
            <w:shd w:val="clear" w:fill="E5E7EB"/>
            <w:noWrap/>
          </w:tcPr>
          <w:p>
            <w:pPr/>
            <w:r>
              <w:rPr>
                <w:sz w:val="20"/>
                <w:szCs w:val="20"/>
                <w:b w:val="1"/>
                <w:bCs w:val="1"/>
              </w:rPr>
              <w:t xml:space="preserve">Catégorie</w:t>
            </w:r>
          </w:p>
        </w:tc>
        <w:tc>
          <w:tcPr>
            <w:shd w:val="clear" w:fill="E5E7EB"/>
            <w:noWrap/>
          </w:tcPr>
          <w:p>
            <w:pPr/>
            <w:r>
              <w:rPr>
                <w:sz w:val="20"/>
                <w:szCs w:val="20"/>
                <w:b w:val="1"/>
                <w:bCs w:val="1"/>
              </w:rPr>
              <w:t xml:space="preserve">Durée de conservation standard</w:t>
            </w:r>
          </w:p>
        </w:tc>
      </w:tr>
      <w:tr>
        <w:trPr/>
        <w:tc>
          <w:tcPr>
            <w:noWrap/>
          </w:tcPr>
          <w:p>
            <w:pPr/>
            <w:r>
              <w:rPr/>
              <w:t xml:space="preserve">Comptes utilisateurs actifs</w:t>
            </w:r>
          </w:p>
        </w:tc>
        <w:tc>
          <w:tcPr>
            <w:noWrap/>
          </w:tcPr>
          <w:p>
            <w:pPr/>
            <w:r>
              <w:rPr/>
              <w:t xml:space="preserve">Pendant la durée du compte et du Contrat principal</w:t>
            </w:r>
          </w:p>
        </w:tc>
      </w:tr>
      <w:tr>
        <w:trPr/>
        <w:tc>
          <w:tcPr>
            <w:shd w:val="clear" w:fill="F9FAFB"/>
            <w:noWrap/>
          </w:tcPr>
          <w:p>
            <w:pPr/>
            <w:r>
              <w:rPr/>
              <w:t xml:space="preserve">Comptes utilisateurs désactivés</w:t>
            </w:r>
          </w:p>
        </w:tc>
        <w:tc>
          <w:tcPr>
            <w:shd w:val="clear" w:fill="F9FAFB"/>
            <w:noWrap/>
          </w:tcPr>
          <w:p>
            <w:pPr/>
            <w:r>
              <w:rPr/>
              <w:t xml:space="preserve">Suppression ou anonymisation selon instruction du Client ; à défaut, à la fin du Contrat principal</w:t>
            </w:r>
          </w:p>
        </w:tc>
      </w:tr>
      <w:tr>
        <w:trPr/>
        <w:tc>
          <w:tcPr>
            <w:noWrap/>
          </w:tcPr>
          <w:p>
            <w:pPr/>
            <w:r>
              <w:rPr/>
              <w:t xml:space="preserve">Fichiers audio</w:t>
            </w:r>
          </w:p>
        </w:tc>
        <w:tc>
          <w:tcPr>
            <w:noWrap/>
          </w:tcPr>
          <w:p>
            <w:pPr/>
            <w:r>
              <w:rPr/>
              <w:t xml:space="preserve">Pendant la durée paramétrée par le Client ou, à défaut, pendant la durée du Contrat principal</w:t>
            </w:r>
          </w:p>
        </w:tc>
      </w:tr>
      <w:tr>
        <w:trPr/>
        <w:tc>
          <w:tcPr>
            <w:shd w:val="clear" w:fill="F9FAFB"/>
            <w:noWrap/>
          </w:tcPr>
          <w:p>
            <w:pPr/>
            <w:r>
              <w:rPr/>
              <w:t xml:space="preserve">Transcriptions et versions</w:t>
            </w:r>
          </w:p>
        </w:tc>
        <w:tc>
          <w:tcPr>
            <w:shd w:val="clear" w:fill="F9FAFB"/>
            <w:noWrap/>
          </w:tcPr>
          <w:p>
            <w:pPr/>
            <w:r>
              <w:rPr/>
              <w:t xml:space="preserve">Pendant la durée paramétrée par le Client ou, à défaut, pendant la durée du Contrat principal</w:t>
            </w:r>
          </w:p>
        </w:tc>
      </w:tr>
      <w:tr>
        <w:trPr/>
        <w:tc>
          <w:tcPr>
            <w:noWrap/>
          </w:tcPr>
          <w:p>
            <w:pPr/>
            <w:r>
              <w:rPr/>
              <w:t xml:space="preserve">Documents préparatoires</w:t>
            </w:r>
          </w:p>
        </w:tc>
        <w:tc>
          <w:tcPr>
            <w:noWrap/>
          </w:tcPr>
          <w:p>
            <w:pPr/>
            <w:r>
              <w:rPr/>
              <w:t xml:space="preserve">Pendant la durée paramétrée par le Client ou, à défaut, pendant la durée du Contrat principal</w:t>
            </w:r>
          </w:p>
        </w:tc>
      </w:tr>
      <w:tr>
        <w:trPr/>
        <w:tc>
          <w:tcPr>
            <w:shd w:val="clear" w:fill="F9FAFB"/>
            <w:noWrap/>
          </w:tcPr>
          <w:p>
            <w:pPr/>
            <w:r>
              <w:rPr/>
              <w:t xml:space="preserve">Générations IA et exports</w:t>
            </w:r>
          </w:p>
        </w:tc>
        <w:tc>
          <w:tcPr>
            <w:shd w:val="clear" w:fill="F9FAFB"/>
            <w:noWrap/>
          </w:tcPr>
          <w:p>
            <w:pPr/>
            <w:r>
              <w:rPr/>
              <w:t xml:space="preserve">Pendant la durée paramétrée par le Client ou, à défaut, pendant la durée du Contrat principal</w:t>
            </w:r>
          </w:p>
        </w:tc>
      </w:tr>
      <w:tr>
        <w:trPr/>
        <w:tc>
          <w:tcPr>
            <w:noWrap/>
          </w:tcPr>
          <w:p>
            <w:pPr/>
            <w:r>
              <w:rPr/>
              <w:t xml:space="preserve">Logs d’audit applicatifs</w:t>
            </w:r>
          </w:p>
        </w:tc>
        <w:tc>
          <w:tcPr>
            <w:noWrap/>
          </w:tcPr>
          <w:p>
            <w:pPr/>
            <w:r>
              <w:rPr/>
              <w:t xml:space="preserve">Durée nécessaire à la sécurité, à la traçabilité et à la preuve, dans la limite de douze (12) mois sauf obligation ou instruction contraire</w:t>
            </w:r>
          </w:p>
        </w:tc>
      </w:tr>
      <w:tr>
        <w:trPr/>
        <w:tc>
          <w:tcPr>
            <w:shd w:val="clear" w:fill="F9FAFB"/>
            <w:noWrap/>
          </w:tcPr>
          <w:p>
            <w:pPr/>
            <w:r>
              <w:rPr/>
              <w:t xml:space="preserve">Logs techniques</w:t>
            </w:r>
          </w:p>
        </w:tc>
        <w:tc>
          <w:tcPr>
            <w:shd w:val="clear" w:fill="F9FAFB"/>
            <w:noWrap/>
          </w:tcPr>
          <w:p>
            <w:pPr/>
            <w:r>
              <w:rPr/>
              <w:t xml:space="preserve">Durée nécessaire à l’exploitation, à la sécurité et au diagnostic, généralement limitée à quatre-vingt-dix (90) jours sauf incident ou obligation contraire</w:t>
            </w:r>
          </w:p>
        </w:tc>
      </w:tr>
      <w:tr>
        <w:trPr/>
        <w:tc>
          <w:tcPr>
            <w:noWrap/>
          </w:tcPr>
          <w:p>
            <w:pPr/>
            <w:r>
              <w:rPr/>
              <w:t xml:space="preserve">Sauvegardes</w:t>
            </w:r>
          </w:p>
        </w:tc>
        <w:tc>
          <w:tcPr>
            <w:noWrap/>
          </w:tcPr>
          <w:p>
            <w:pPr/>
            <w:r>
              <w:rPr/>
              <w:t xml:space="preserve">Conservation selon cycle de sauvegarde, maximum quatre-vingt-dix (90) jours sauf restauration, incident ou obligation légale</w:t>
            </w:r>
          </w:p>
        </w:tc>
      </w:tr>
      <w:tr>
        <w:trPr/>
        <w:tc>
          <w:tcPr>
            <w:shd w:val="clear" w:fill="F9FAFB"/>
            <w:noWrap/>
          </w:tcPr>
          <w:p>
            <w:pPr/>
            <w:r>
              <w:rPr/>
              <w:t xml:space="preserve">Embeddings vocaux temporaires</w:t>
            </w:r>
          </w:p>
        </w:tc>
        <w:tc>
          <w:tcPr>
            <w:shd w:val="clear" w:fill="F9FAFB"/>
            <w:noWrap/>
          </w:tcPr>
          <w:p>
            <w:pPr/>
            <w:r>
              <w:rPr/>
              <w:t xml:space="preserve">Durée strictement limitée à l’exécution de la requête de voice correlation ; destruction en fin de traitement</w:t>
            </w:r>
          </w:p>
        </w:tc>
      </w:tr>
    </w:tbl>
    <w:p/>
    <w:p>
      <w:pPr>
        <w:pStyle w:val="Body"/>
      </w:pPr>
      <w:r>
        <w:rPr/>
        <w:t xml:space="preserve">VOICE CORRELATION</w:t>
      </w:r>
    </w:p>
    <w:p>
      <w:pPr>
        <w:pStyle w:val="Body"/>
      </w:pPr>
      <w:r>
        <w:rPr/>
        <w:t xml:space="preserve">La fonctionnalité de voice correlation, livrée le 18 mai 2026, consiste en un traitement temporaire de données vocales aux fins de suggestion d’identification de locuteurs, sans constitution de gabarit biométrique persistant.</w:t>
      </w:r>
    </w:p>
    <w:p>
      <w:pPr>
        <w:pStyle w:val="Body"/>
      </w:pPr>
      <w:r>
        <w:rPr/>
        <w:t xml:space="preserve">Cette fonctionnalité peut comparer des caractéristiques vocales extraites temporairement d’un ou plusieurs segments audio avec des éléments disponibles dans la session ou l’espace du Client, afin de proposer une suggestion d’association entre un locuteur détecté et un nom d’intervenant saisi ou validé par les utilisateurs.</w:t>
      </w:r>
    </w:p>
    <w:p>
      <w:pPr>
        <w:pStyle w:val="Body"/>
      </w:pPr>
      <w:r>
        <w:rPr/>
        <w:t xml:space="preserve">Les suggestions produites par la voice correlation ne constituent pas une décision automatique définitive. Elles doivent faire l’objet d’une validation humaine par un utilisateur autorisé du Client avant d’être retenues dans la transcription ou l’interface.</w:t>
      </w:r>
    </w:p>
    <w:p>
      <w:pPr>
        <w:pStyle w:val="Body"/>
      </w:pPr>
      <w:r>
        <w:rPr/>
        <w:t xml:space="preserve">Les embeddings vocaux temporaires sont calculés en mémoire vive ou dans des espaces temporaires contrôlés, ne sont pas conservés comme profils persistants, ne sont pas utilisés pour l’entraînement de modèles par AMBASSADIA SARL, et sont détruits à l’issue de la requête, y compris dans les blocs de nettoyage applicatif de type `finally` lorsqu’ils sont utilisés.</w:t>
      </w:r>
    </w:p>
    <w:p>
      <w:pPr>
        <w:pStyle w:val="Body"/>
      </w:pPr>
      <w:r>
        <w:rPr/>
        <w:t xml:space="preserve">Le Client demeure responsable de l’information des Personnes concernées, du choix de la base légale, de la détermination de la nécessité et de la proportionnalité, ainsi que de toute analyse interne requise au regard de ses usages.</w:t>
      </w:r>
    </w:p>
    <w:p>
      <w:pPr>
        <w:pStyle w:val="H1"/>
      </w:pPr>
      <w:r>
        <w:rPr>
          <w:color w:val="1F3A8A"/>
          <w:sz w:val="32"/>
          <w:szCs w:val="32"/>
          <w:b w:val="1"/>
          <w:bCs w:val="1"/>
        </w:rPr>
        <w:t xml:space="preserve">ANNEXE 2 — LISTE DES SOUS-TRAITANTS ULTÉRIEURS AUTORISÉS</w:t>
      </w:r>
    </w:p>
    <w:tbl>
      <w:tblGrid>
        <w:gridCol/>
        <w:gridCol/>
        <w:gridCol/>
        <w:gridCol/>
      </w:tblGrid>
      <w:tblPr>
        <w:tblStyle w:val="DpaTable"/>
      </w:tblPr>
      <w:tr>
        <w:trPr/>
        <w:tc>
          <w:tcPr>
            <w:shd w:val="clear" w:fill="E5E7EB"/>
            <w:noWrap/>
          </w:tcPr>
          <w:p>
            <w:pPr/>
            <w:r>
              <w:rPr>
                <w:sz w:val="20"/>
                <w:szCs w:val="20"/>
                <w:b w:val="1"/>
                <w:bCs w:val="1"/>
              </w:rPr>
              <w:t xml:space="preserve">Nom</w:t>
            </w:r>
          </w:p>
        </w:tc>
        <w:tc>
          <w:tcPr>
            <w:shd w:val="clear" w:fill="E5E7EB"/>
            <w:noWrap/>
          </w:tcPr>
          <w:p>
            <w:pPr/>
            <w:r>
              <w:rPr>
                <w:sz w:val="20"/>
                <w:szCs w:val="20"/>
                <w:b w:val="1"/>
                <w:bCs w:val="1"/>
              </w:rPr>
              <w:t xml:space="preserve">Finalité</w:t>
            </w:r>
          </w:p>
        </w:tc>
        <w:tc>
          <w:tcPr>
            <w:shd w:val="clear" w:fill="E5E7EB"/>
            <w:noWrap/>
          </w:tcPr>
          <w:p>
            <w:pPr/>
            <w:r>
              <w:rPr>
                <w:sz w:val="20"/>
                <w:szCs w:val="20"/>
                <w:b w:val="1"/>
                <w:bCs w:val="1"/>
              </w:rPr>
              <w:t xml:space="preserve">Localisation</w:t>
            </w:r>
          </w:p>
        </w:tc>
        <w:tc>
          <w:tcPr>
            <w:shd w:val="clear" w:fill="E5E7EB"/>
            <w:noWrap/>
          </w:tcPr>
          <w:p>
            <w:pPr/>
            <w:r>
              <w:rPr>
                <w:sz w:val="20"/>
                <w:szCs w:val="20"/>
                <w:b w:val="1"/>
                <w:bCs w:val="1"/>
              </w:rPr>
              <w:t xml:space="preserve">Base contractuelle</w:t>
            </w:r>
          </w:p>
        </w:tc>
      </w:tr>
      <w:tr>
        <w:trPr/>
        <w:tc>
          <w:tcPr>
            <w:noWrap/>
          </w:tcPr>
          <w:p>
            <w:pPr/>
            <w:r>
              <w:rPr/>
              <w:t xml:space="preserve">Hostinger</w:t>
            </w:r>
          </w:p>
        </w:tc>
        <w:tc>
          <w:tcPr>
            <w:noWrap/>
          </w:tcPr>
          <w:p>
            <w:pPr/>
            <w:r>
              <w:rPr/>
              <w:t xml:space="preserve">Hébergement physique ou cloud du Service SaaS TranscribIA, stockage, réseau, disponibilité infrastructure</w:t>
            </w:r>
          </w:p>
        </w:tc>
        <w:tc>
          <w:tcPr>
            <w:noWrap/>
          </w:tcPr>
          <w:p>
            <w:pPr/>
            <w:r>
              <w:rPr/>
              <w:t xml:space="preserve">France, Union européenne ou Espace économique européen selon configuration retenue</w:t>
            </w:r>
          </w:p>
        </w:tc>
        <w:tc>
          <w:tcPr>
            <w:noWrap/>
          </w:tcPr>
          <w:p>
            <w:pPr/>
            <w:r>
              <w:rPr/>
              <w:t xml:space="preserve">Contrat de service, clauses de sous-traitance, engagements RGPD</w:t>
            </w:r>
          </w:p>
        </w:tc>
      </w:tr>
      <w:tr>
        <w:trPr/>
        <w:tc>
          <w:tcPr>
            <w:shd w:val="clear" w:fill="F9FAFB"/>
            <w:noWrap/>
          </w:tcPr>
          <w:p>
            <w:pPr/>
            <w:r>
              <w:rPr/>
              <w:t xml:space="preserve">OpenRouter</w:t>
            </w:r>
          </w:p>
        </w:tc>
        <w:tc>
          <w:tcPr>
            <w:shd w:val="clear" w:fill="F9FAFB"/>
            <w:noWrap/>
          </w:tcPr>
          <w:p>
            <w:pPr/>
            <w:r>
              <w:rPr/>
              <w:t xml:space="preserve">Courtage d’accès à des modèles LLM pour correction, résumé, génération de texte, analyse, structuration et assistance IA, selon activation par le Client</w:t>
            </w:r>
          </w:p>
        </w:tc>
        <w:tc>
          <w:tcPr>
            <w:shd w:val="clear" w:fill="F9FAFB"/>
            <w:noWrap/>
          </w:tcPr>
          <w:p>
            <w:pPr/>
            <w:r>
              <w:rPr/>
              <w:t xml:space="preserve">Union européenne ou Espace économique européen lorsque disponible et activé ; aucun transfert hors UE sans mécanisme chapitre V RGPD</w:t>
            </w:r>
          </w:p>
        </w:tc>
        <w:tc>
          <w:tcPr>
            <w:shd w:val="clear" w:fill="F9FAFB"/>
            <w:noWrap/>
          </w:tcPr>
          <w:p>
            <w:pPr/>
            <w:r>
              <w:rPr/>
              <w:t xml:space="preserve">Contrat de service, clauses de sous-traitance, engagements RGPD, clauses contractuelles types si nécessaires</w:t>
            </w:r>
          </w:p>
        </w:tc>
      </w:tr>
      <w:tr>
        <w:trPr/>
        <w:tc>
          <w:tcPr>
            <w:noWrap/>
          </w:tcPr>
          <w:p>
            <w:pPr/>
            <w:r>
              <w:rPr/>
              <w:t xml:space="preserve">Fournisseurs de modèles via OpenRouter, notamment Anthropic ou OpenAI lorsque configurés</w:t>
            </w:r>
          </w:p>
        </w:tc>
        <w:tc>
          <w:tcPr>
            <w:noWrap/>
          </w:tcPr>
          <w:p>
            <w:pPr/>
            <w:r>
              <w:rPr/>
              <w:t xml:space="preserve">Inférence LLM pour les seules requêtes IA initiées ou paramétrées par le Client</w:t>
            </w:r>
          </w:p>
        </w:tc>
        <w:tc>
          <w:tcPr>
            <w:noWrap/>
          </w:tcPr>
          <w:p>
            <w:pPr/>
            <w:r>
              <w:rPr/>
              <w:t xml:space="preserve">Selon configuration disponible, avec priorité UE/EEE ; hors UE uniquement avec garanties valides chapitre V RGPD</w:t>
            </w:r>
          </w:p>
        </w:tc>
        <w:tc>
          <w:tcPr>
            <w:noWrap/>
          </w:tcPr>
          <w:p>
            <w:pPr/>
            <w:r>
              <w:rPr/>
              <w:t xml:space="preserve">Conditions fournisseurs, DPA fournisseur, clauses contractuelles types si nécessaires</w:t>
            </w:r>
          </w:p>
        </w:tc>
      </w:tr>
      <w:tr>
        <w:trPr/>
        <w:tc>
          <w:tcPr>
            <w:shd w:val="clear" w:fill="F9FAFB"/>
            <w:noWrap/>
          </w:tcPr>
          <w:p>
            <w:pPr/>
            <w:r>
              <w:rPr/>
              <w:t xml:space="preserve">Vast.ai</w:t>
            </w:r>
          </w:p>
        </w:tc>
        <w:tc>
          <w:tcPr>
            <w:shd w:val="clear" w:fill="F9FAFB"/>
            <w:noWrap/>
          </w:tcPr>
          <w:p>
            <w:pPr/>
            <w:r>
              <w:rPr/>
              <w:t xml:space="preserve">Location à la demande de ressources GPU pour transcription, diarisation, traitement audio ou voice correlation lorsque cette option est utilisée</w:t>
            </w:r>
          </w:p>
        </w:tc>
        <w:tc>
          <w:tcPr>
            <w:shd w:val="clear" w:fill="F9FAFB"/>
            <w:noWrap/>
          </w:tcPr>
          <w:p>
            <w:pPr/>
            <w:r>
              <w:rPr/>
              <w:t xml:space="preserve">Ressources sélectionnées en Union européenne ou Espace économique européen lorsque requis ; hors UE uniquement avec accord et garanties chapitre V RGPD</w:t>
            </w:r>
          </w:p>
        </w:tc>
        <w:tc>
          <w:tcPr>
            <w:shd w:val="clear" w:fill="F9FAFB"/>
            <w:noWrap/>
          </w:tcPr>
          <w:p>
            <w:pPr/>
            <w:r>
              <w:rPr/>
              <w:t xml:space="preserve">Contrat de service, conditions fournisseur, clauses contractuelles ou garanties équivalentes lorsque applicables</w:t>
            </w:r>
          </w:p>
        </w:tc>
      </w:tr>
      <w:tr>
        <w:trPr/>
        <w:tc>
          <w:tcPr>
            <w:noWrap/>
          </w:tcPr>
          <w:p>
            <w:pPr/>
            <w:r>
              <w:rPr/>
              <w:t xml:space="preserve">Prestataires email transactionnel, si activés</w:t>
            </w:r>
          </w:p>
        </w:tc>
        <w:tc>
          <w:tcPr>
            <w:noWrap/>
          </w:tcPr>
          <w:p>
            <w:pPr/>
            <w:r>
              <w:rPr/>
              <w:t xml:space="preserve">Envoi d’emails de service : invitation, réinitialisation, notifications techniques</w:t>
            </w:r>
          </w:p>
        </w:tc>
        <w:tc>
          <w:tcPr>
            <w:noWrap/>
          </w:tcPr>
          <w:p>
            <w:pPr/>
            <w:r>
              <w:rPr/>
              <w:t xml:space="preserve">Union européenne ou Espace économique européen lorsque configuré ; hors UE uniquement avec garanties chapitre V RGPD</w:t>
            </w:r>
          </w:p>
        </w:tc>
        <w:tc>
          <w:tcPr>
            <w:noWrap/>
          </w:tcPr>
          <w:p>
            <w:pPr/>
            <w:r>
              <w:rPr/>
              <w:t xml:space="preserve">Contrat de service, DPA fournisseur, clauses contractuelles types si nécessaires</w:t>
            </w:r>
          </w:p>
        </w:tc>
      </w:tr>
      <w:tr>
        <w:trPr/>
        <w:tc>
          <w:tcPr>
            <w:shd w:val="clear" w:fill="F9FAFB"/>
            <w:noWrap/>
          </w:tcPr>
          <w:p>
            <w:pPr/>
            <w:r>
              <w:rPr/>
              <w:t xml:space="preserve">Prestataires de supervision ou sécurité, si activés</w:t>
            </w:r>
          </w:p>
        </w:tc>
        <w:tc>
          <w:tcPr>
            <w:shd w:val="clear" w:fill="F9FAFB"/>
            <w:noWrap/>
          </w:tcPr>
          <w:p>
            <w:pPr/>
            <w:r>
              <w:rPr/>
              <w:t xml:space="preserve">Supervision technique, alerting, diagnostic d’erreurs, sécurité opérationnelle</w:t>
            </w:r>
          </w:p>
        </w:tc>
        <w:tc>
          <w:tcPr>
            <w:shd w:val="clear" w:fill="F9FAFB"/>
            <w:noWrap/>
          </w:tcPr>
          <w:p>
            <w:pPr/>
            <w:r>
              <w:rPr/>
              <w:t xml:space="preserve">Union européenne ou Espace économique européen lorsque configuré ; hors UE uniquement avec garanties chapitre V RGPD</w:t>
            </w:r>
          </w:p>
        </w:tc>
        <w:tc>
          <w:tcPr>
            <w:shd w:val="clear" w:fill="F9FAFB"/>
            <w:noWrap/>
          </w:tcPr>
          <w:p>
            <w:pPr/>
            <w:r>
              <w:rPr/>
              <w:t xml:space="preserve">Contrat de service, DPA fournisseur, clauses contractuelles types si nécessaires</w:t>
            </w:r>
          </w:p>
        </w:tc>
      </w:tr>
    </w:tbl>
    <w:p/>
    <w:p>
      <w:pPr>
        <w:pStyle w:val="H1"/>
      </w:pPr>
      <w:r>
        <w:rPr>
          <w:color w:val="1F3A8A"/>
          <w:sz w:val="32"/>
          <w:szCs w:val="32"/>
          <w:b w:val="1"/>
          <w:bCs w:val="1"/>
        </w:rPr>
        <w:t xml:space="preserve">ANNEXE 3 — MESURES TECHNIQUES ET ORGANISATIONNELLES</w:t>
      </w:r>
    </w:p>
    <w:p>
      <w:pPr>
        <w:pStyle w:val="H1"/>
      </w:pPr>
      <w:r>
        <w:rPr>
          <w:color w:val="1F3A8A"/>
          <w:sz w:val="32"/>
          <w:szCs w:val="32"/>
          <w:b w:val="1"/>
          <w:bCs w:val="1"/>
        </w:rPr>
        <w:t xml:space="preserve">1. CHIFFREMENT ET PROTECTION DES FLUX</w:t>
      </w:r>
    </w:p>
    <w:p>
      <w:pPr>
        <w:pStyle w:val="Body"/>
      </w:pPr>
      <w:r>
        <w:rPr/>
        <w:t xml:space="preserve">AMBASSADIA SARL met en œuvre le chiffrement des communications réseau par TLS/HTTPS pour les accès applicatifs, API et interfaces d’administration, conformément à l’article 32.1.a du RGPD.</w:t>
      </w:r>
    </w:p>
    <w:p>
      <w:pPr>
        <w:pStyle w:val="Body"/>
      </w:pPr>
      <w:r>
        <w:rPr/>
        <w:t xml:space="preserve">Les URL de streaming de fichiers audio sont protégées par des liens signés et temporaires. Les accès directs non autorisés aux fichiers ne sont pas exposés publiquement.</w:t>
      </w:r>
    </w:p>
    <w:p>
      <w:pPr>
        <w:pStyle w:val="Body"/>
      </w:pPr>
      <w:r>
        <w:rPr/>
        <w:t xml:space="preserve">Les secrets applicatifs, clés API, jetons et mots de passe sont stockés dans des fichiers d’environnement, coffres, variables sécurisées ou mécanismes équivalents, avec accès limité aux personnes habilitées.</w:t>
      </w:r>
    </w:p>
    <w:p>
      <w:pPr>
        <w:pStyle w:val="H1"/>
      </w:pPr>
      <w:r>
        <w:rPr>
          <w:color w:val="1F3A8A"/>
          <w:sz w:val="32"/>
          <w:szCs w:val="32"/>
          <w:b w:val="1"/>
          <w:bCs w:val="1"/>
        </w:rPr>
        <w:t xml:space="preserve">2. ISOLATION TENANT ET CLOISONNEMENT LOGIQUE</w:t>
      </w:r>
    </w:p>
    <w:p>
      <w:pPr>
        <w:pStyle w:val="Body"/>
      </w:pPr>
      <w:r>
        <w:rPr/>
        <w:t xml:space="preserve">Le Service SaaS repose sur une architecture multi-tenant avec isolation logique par organisation. Les données tenant sont séparées par schéma PostgreSQL dédié à l’organisation lorsque cette architecture est activée.</w:t>
      </w:r>
    </w:p>
    <w:p>
      <w:pPr>
        <w:pStyle w:val="Body"/>
      </w:pPr>
      <w:r>
        <w:rPr/>
        <w:t xml:space="preserve">Le middleware applicatif positionne le contexte tenant avant l’exécution des requêtes, afin de limiter les accès aux Données de l’organisation concernée.</w:t>
      </w:r>
    </w:p>
    <w:p>
      <w:pPr>
        <w:pStyle w:val="Body"/>
      </w:pPr>
      <w:r>
        <w:rPr/>
        <w:t xml:space="preserve">Les rôles applicatifs limitent les accès selon les profils autorisés : super administrateur, agent autorisé, manager, team lead et utilisateur.</w:t>
      </w:r>
    </w:p>
    <w:p>
      <w:pPr>
        <w:pStyle w:val="H1"/>
      </w:pPr>
      <w:r>
        <w:rPr>
          <w:color w:val="1F3A8A"/>
          <w:sz w:val="32"/>
          <w:szCs w:val="32"/>
          <w:b w:val="1"/>
          <w:bCs w:val="1"/>
        </w:rPr>
        <w:t xml:space="preserve">3. GESTION DES ACCÈS ET AUTHENTIFICATION</w:t>
      </w:r>
    </w:p>
    <w:p>
      <w:pPr>
        <w:pStyle w:val="Body"/>
      </w:pPr>
      <w:r>
        <w:rPr/>
        <w:t xml:space="preserve">Les comptes utilisateurs sont associés à des rôles et permissions. Les accès sont accordés selon le principe du moindre privilège.</w:t>
      </w:r>
    </w:p>
    <w:p>
      <w:pPr>
        <w:pStyle w:val="Body"/>
      </w:pPr>
      <w:r>
        <w:rPr/>
        <w:t xml:space="preserve">Les jetons API et sessions applicatives sont limités aux usages nécessaires. Les accès d’administration sont réservés aux personnes habilitées.</w:t>
      </w:r>
    </w:p>
    <w:p>
      <w:pPr>
        <w:pStyle w:val="Body"/>
      </w:pPr>
      <w:r>
        <w:rPr/>
        <w:t xml:space="preserve">Le Client est responsable de la gestion de ses propres utilisateurs, de la suppression des comptes obsolètes, de l’attribution des rôles et de la protection des moyens d’authentification de ses utilisateurs.</w:t>
      </w:r>
    </w:p>
    <w:p>
      <w:pPr>
        <w:pStyle w:val="H1"/>
      </w:pPr>
      <w:r>
        <w:rPr>
          <w:color w:val="1F3A8A"/>
          <w:sz w:val="32"/>
          <w:szCs w:val="32"/>
          <w:b w:val="1"/>
          <w:bCs w:val="1"/>
        </w:rPr>
        <w:t xml:space="preserve">4. JOURNALISATION ET TRAÇABILITÉ</w:t>
      </w:r>
    </w:p>
    <w:p>
      <w:pPr>
        <w:pStyle w:val="Body"/>
      </w:pPr>
      <w:r>
        <w:rPr/>
        <w:t xml:space="preserve">Le Service conserve des logs d’audit et traces techniques permettant de suivre certaines actions significatives : connexions, créations, modifications, suppressions, uploads, traitements, erreurs, exports et opérations d’administration disponibles.</w:t>
      </w:r>
    </w:p>
    <w:p>
      <w:pPr>
        <w:pStyle w:val="Body"/>
      </w:pPr>
      <w:r>
        <w:rPr/>
        <w:t xml:space="preserve">Les journaux sont utilisés pour la sécurité, le diagnostic, la preuve, la détection d’incidents et l’assistance au Client.</w:t>
      </w:r>
    </w:p>
    <w:p>
      <w:pPr>
        <w:pStyle w:val="Body"/>
      </w:pPr>
      <w:r>
        <w:rPr/>
        <w:t xml:space="preserve">Les logs ne doivent pas contenir d’embeddings vocaux persistants. Les logs liés à la voice correlation sont limités aux informations techniques nécessaires et font l’objet de mesures de réduction ou de nettoyage des données sensibles lorsque possible.</w:t>
      </w:r>
    </w:p>
    <w:p>
      <w:pPr>
        <w:pStyle w:val="H1"/>
      </w:pPr>
      <w:r>
        <w:rPr>
          <w:color w:val="1F3A8A"/>
          <w:sz w:val="32"/>
          <w:szCs w:val="32"/>
          <w:b w:val="1"/>
          <w:bCs w:val="1"/>
        </w:rPr>
        <w:t xml:space="preserve">5. SAUVEGARDES ET RESTAURATION</w:t>
      </w:r>
    </w:p>
    <w:p>
      <w:pPr>
        <w:pStyle w:val="Body"/>
      </w:pPr>
      <w:r>
        <w:rPr/>
        <w:t xml:space="preserve">En Option A, AMBASSADIA SARL met en œuvre des sauvegardes techniques destinées à restaurer la disponibilité des Données et l’accès à celles-ci dans des délais appropriés en cas d’incident physique ou technique, conformément à l’article 32.1.c du RGPD.</w:t>
      </w:r>
    </w:p>
    <w:p>
      <w:pPr>
        <w:pStyle w:val="Body"/>
      </w:pPr>
      <w:r>
        <w:rPr/>
        <w:t xml:space="preserve">Les sauvegardes sont protégées contre les accès non autorisés et conservées selon un cycle de rotation défini.</w:t>
      </w:r>
    </w:p>
    <w:p>
      <w:pPr>
        <w:pStyle w:val="Body"/>
      </w:pPr>
      <w:r>
        <w:rPr/>
        <w:t xml:space="preserve">En Option B, le Client est responsable des sauvegardes de son environnement, sauf stipulation expresse contraire.</w:t>
      </w:r>
    </w:p>
    <w:p>
      <w:pPr>
        <w:pStyle w:val="H1"/>
      </w:pPr>
      <w:r>
        <w:rPr>
          <w:color w:val="1F3A8A"/>
          <w:sz w:val="32"/>
          <w:szCs w:val="32"/>
          <w:b w:val="1"/>
          <w:bCs w:val="1"/>
        </w:rPr>
        <w:t xml:space="preserve">6. DISPONIBILITÉ, RÉSILIENCE ET CONTINUITÉ</w:t>
      </w:r>
    </w:p>
    <w:p>
      <w:pPr>
        <w:pStyle w:val="Body"/>
      </w:pPr>
      <w:r>
        <w:rPr/>
        <w:t xml:space="preserve">AMBASSADIA SARL met en œuvre des moyens raisonnables pour assurer la disponibilité, l’intégrité et la résilience du Service, conformément à l’article 32.1.b du RGPD.</w:t>
      </w:r>
    </w:p>
    <w:p>
      <w:pPr>
        <w:pStyle w:val="Body"/>
      </w:pPr>
      <w:r>
        <w:rPr/>
        <w:t xml:space="preserve">Ces moyens peuvent inclure supervision, redémarrage de services, files d’attente, workers séparés, monitoring applicatif, séparation des composants applicatifs, base de données, cache, WebSocket et traitements asynchrones.</w:t>
      </w:r>
    </w:p>
    <w:p>
      <w:pPr>
        <w:pStyle w:val="Body"/>
      </w:pPr>
      <w:r>
        <w:rPr/>
        <w:t xml:space="preserve">Les engagements de disponibilité, temps de rétablissement ou niveaux de service sont ceux prévus au Contrat principal lorsqu’ils existent.</w:t>
      </w:r>
    </w:p>
    <w:p>
      <w:pPr>
        <w:pStyle w:val="H1"/>
      </w:pPr>
      <w:r>
        <w:rPr>
          <w:color w:val="1F3A8A"/>
          <w:sz w:val="32"/>
          <w:szCs w:val="32"/>
          <w:b w:val="1"/>
          <w:bCs w:val="1"/>
        </w:rPr>
        <w:t xml:space="preserve">7. GESTION DES VULNÉRABILITÉS ET MISES À JOUR</w:t>
      </w:r>
    </w:p>
    <w:p>
      <w:pPr>
        <w:pStyle w:val="Body"/>
      </w:pPr>
      <w:r>
        <w:rPr/>
        <w:t xml:space="preserve">AMBASSADIA SARL applique une gestion raisonnable des vulnérabilités sur les composants qu’elle contrôle : framework applicatif, dépendances, conteneurs, images Docker, serveur applicatif, configuration de sécurité et bibliothèques critiques.</w:t>
      </w:r>
    </w:p>
    <w:p>
      <w:pPr>
        <w:pStyle w:val="Body"/>
      </w:pPr>
      <w:r>
        <w:rPr/>
        <w:t xml:space="preserve">Les correctifs de sécurité sont priorisés selon leur criticité, leur exploitabilité et leur exposition.</w:t>
      </w:r>
    </w:p>
    <w:p>
      <w:pPr>
        <w:pStyle w:val="Body"/>
      </w:pPr>
      <w:r>
        <w:rPr/>
        <w:t xml:space="preserve">En Option B, le Client est responsable du déploiement effectif des mises à jour, correctifs et configurations de sécurité dans son environnement, sauf mission de maintenance confiée à AMBASSADIA SARL.</w:t>
      </w:r>
    </w:p>
    <w:p>
      <w:pPr>
        <w:pStyle w:val="H1"/>
      </w:pPr>
      <w:r>
        <w:rPr>
          <w:color w:val="1F3A8A"/>
          <w:sz w:val="32"/>
          <w:szCs w:val="32"/>
          <w:b w:val="1"/>
          <w:bCs w:val="1"/>
        </w:rPr>
        <w:t xml:space="preserve">8. SÉCURITÉ DES TRAITEMENTS IA ET TRANSCRIPTION</w:t>
      </w:r>
    </w:p>
    <w:p>
      <w:pPr>
        <w:pStyle w:val="Body"/>
      </w:pPr>
      <w:r>
        <w:rPr/>
        <w:t xml:space="preserve">Les traitements de transcription, diarisation, génération IA, correction, résumé, chapitrage et identification de locuteurs sont exécutés uniquement pour les finalités activées par le Client.</w:t>
      </w:r>
    </w:p>
    <w:p>
      <w:pPr>
        <w:pStyle w:val="Body"/>
      </w:pPr>
      <w:r>
        <w:rPr/>
        <w:t xml:space="preserve">Les prompts et sources envoyés aux modèles IA sont constitués selon les sélections ou paramètres du Client. AMBASSADIA SARL applique, lorsque possible, une minimisation des données transmises aux services tiers nécessaires.</w:t>
      </w:r>
    </w:p>
    <w:p>
      <w:pPr>
        <w:pStyle w:val="Body"/>
      </w:pPr>
      <w:r>
        <w:rPr/>
        <w:t xml:space="preserve">Les données transmises aux Sous-traitants ultérieurs IA ne doivent pas être utilisées par AMBASSADIA SARL pour entraîner des modèles propres, sauf instruction expresse et séparée du Client.</w:t>
      </w:r>
    </w:p>
    <w:p>
      <w:pPr>
        <w:pStyle w:val="H1"/>
      </w:pPr>
      <w:r>
        <w:rPr>
          <w:color w:val="1F3A8A"/>
          <w:sz w:val="32"/>
          <w:szCs w:val="32"/>
          <w:b w:val="1"/>
          <w:bCs w:val="1"/>
        </w:rPr>
        <w:t xml:space="preserve">9. MTOs DÉDIÉES À LA VOICE CORRELATION</w:t>
      </w:r>
    </w:p>
    <w:p>
      <w:pPr>
        <w:pStyle w:val="Body"/>
      </w:pPr>
      <w:r>
        <w:rPr/>
        <w:t xml:space="preserve">La voice correlation repose sur un traitement temporaire de données vocales aux fins de suggestion d’identification de locuteurs, sans constitution de gabarit biométrique persistant.</w:t>
      </w:r>
    </w:p>
    <w:p>
      <w:pPr>
        <w:pStyle w:val="Body"/>
      </w:pPr>
      <w:r>
        <w:rPr/>
        <w:t xml:space="preserve">Les garanties spécifiques suivantes sont appliquées lorsque la fonctionnalité est activée :</w:t>
      </w:r>
    </w:p>
    <w:p>
      <w:pPr>
        <w:spacing w:after="80"/>
        <w:numPr>
          <w:ilvl w:val="0"/>
          <w:numId w:val="7"/>
        </w:numPr>
      </w:pPr>
      <w:r>
        <w:rPr/>
        <w:t xml:space="preserve">activation au niveau tenant ou par configuration Client lorsque disponible ;</w:t>
      </w:r>
    </w:p>
    <w:p>
      <w:pPr>
        <w:spacing w:after="80"/>
        <w:numPr>
          <w:ilvl w:val="0"/>
          <w:numId w:val="7"/>
        </w:numPr>
      </w:pPr>
      <w:r>
        <w:rPr/>
        <w:t xml:space="preserve">absence de création de profil vocal persistant par défaut ;</w:t>
      </w:r>
    </w:p>
    <w:p>
      <w:pPr>
        <w:spacing w:after="80"/>
        <w:numPr>
          <w:ilvl w:val="0"/>
          <w:numId w:val="7"/>
        </w:numPr>
      </w:pPr>
      <w:r>
        <w:rPr/>
        <w:t xml:space="preserve">calcul des embeddings vocaux temporairement en mémoire vive lorsque techniquement possible ;</w:t>
      </w:r>
    </w:p>
    <w:p>
      <w:pPr>
        <w:spacing w:after="80"/>
        <w:numPr>
          <w:ilvl w:val="0"/>
          <w:numId w:val="7"/>
        </w:numPr>
      </w:pPr>
      <w:r>
        <w:rPr/>
        <w:t xml:space="preserve">utilisation d’espaces temporaires de type `tmpfs` lorsque l’environnement le permet ;</w:t>
      </w:r>
    </w:p>
    <w:p>
      <w:pPr>
        <w:spacing w:after="80"/>
        <w:numPr>
          <w:ilvl w:val="0"/>
          <w:numId w:val="7"/>
        </w:numPr>
      </w:pPr>
      <w:r>
        <w:rPr/>
        <w:t xml:space="preserve">désactivation du swap pour les workers concernés lorsque l’environnement le permet et lorsque cette mesure est compatible avec la stabilité de l’infrastructure ;</w:t>
      </w:r>
    </w:p>
    <w:p>
      <w:pPr>
        <w:spacing w:after="80"/>
        <w:numPr>
          <w:ilvl w:val="0"/>
          <w:numId w:val="7"/>
        </w:numPr>
      </w:pPr>
      <w:r>
        <w:rPr/>
        <w:t xml:space="preserve">suppression des fichiers temporaires et embeddings à l’issue de la requête ;</w:t>
      </w:r>
    </w:p>
    <w:p>
      <w:pPr>
        <w:spacing w:after="80"/>
        <w:numPr>
          <w:ilvl w:val="0"/>
          <w:numId w:val="7"/>
        </w:numPr>
      </w:pPr>
      <w:r>
        <w:rPr/>
        <w:t xml:space="preserve">nettoyage dans les blocs de fin de traitement, y compris mécanismes applicatifs de type `finally` ;</w:t>
      </w:r>
    </w:p>
    <w:p>
      <w:pPr>
        <w:spacing w:after="80"/>
        <w:numPr>
          <w:ilvl w:val="0"/>
          <w:numId w:val="7"/>
        </w:numPr>
      </w:pPr>
      <w:r>
        <w:rPr/>
        <w:t xml:space="preserve">absence d’utilisation des embeddings vocaux pour entraîner des modèles propres ;</w:t>
      </w:r>
    </w:p>
    <w:p>
      <w:pPr>
        <w:spacing w:after="80"/>
        <w:numPr>
          <w:ilvl w:val="0"/>
          <w:numId w:val="7"/>
        </w:numPr>
      </w:pPr>
      <w:r>
        <w:rPr/>
        <w:t xml:space="preserve">validation humaine obligatoire des suggestions avant attribution définitive d’un nom de locuteur ;</w:t>
      </w:r>
    </w:p>
    <w:p>
      <w:pPr>
        <w:spacing w:after="80"/>
        <w:numPr>
          <w:ilvl w:val="0"/>
          <w:numId w:val="7"/>
        </w:numPr>
      </w:pPr>
      <w:r>
        <w:rPr/>
        <w:t xml:space="preserve">journalisation limitée aux événements techniques nécessaires ;</w:t>
      </w:r>
    </w:p>
    <w:p>
      <w:pPr>
        <w:spacing w:after="80"/>
        <w:numPr>
          <w:ilvl w:val="0"/>
          <w:numId w:val="7"/>
        </w:numPr>
      </w:pPr>
      <w:r>
        <w:rPr/>
        <w:t xml:space="preserve">nettoyage ou réduction des logs afin d’éviter l’inscription d’empreintes, vecteurs ou extraits vocaux non nécessaires ;</w:t>
      </w:r>
    </w:p>
    <w:p>
      <w:pPr>
        <w:spacing w:after="80"/>
        <w:numPr>
          <w:ilvl w:val="0"/>
          <w:numId w:val="7"/>
        </w:numPr>
      </w:pPr>
      <w:r>
        <w:rPr/>
        <w:t xml:space="preserve">séparation des traitements par tenant ;</w:t>
      </w:r>
    </w:p>
    <w:p>
      <w:pPr>
        <w:spacing w:after="80"/>
        <w:numPr>
          <w:ilvl w:val="0"/>
          <w:numId w:val="7"/>
        </w:numPr>
      </w:pPr>
      <w:r>
        <w:rPr/>
        <w:t xml:space="preserve">restriction des accès aux workers et sorties techniques ;</w:t>
      </w:r>
    </w:p>
    <w:p>
      <w:pPr>
        <w:spacing w:after="80"/>
        <w:numPr>
          <w:ilvl w:val="0"/>
          <w:numId w:val="7"/>
        </w:numPr>
      </w:pPr>
      <w:r>
        <w:rPr/>
        <w:t xml:space="preserve">possibilité de désactivation de la fonctionnalité sur demande du Client ou par configuration contractuelle ;</w:t>
      </w:r>
    </w:p>
    <w:p>
      <w:pPr>
        <w:spacing w:after="80"/>
        <w:numPr>
          <w:ilvl w:val="0"/>
          <w:numId w:val="7"/>
        </w:numPr>
      </w:pPr>
      <w:r>
        <w:rPr/>
        <w:t xml:space="preserve">sélection de ressources GPU situées dans l’Union européenne ou l’Espace économique européen lorsque requis.</w:t>
      </w:r>
    </w:p>
    <w:p>
      <w:pPr>
        <w:pStyle w:val="H1"/>
      </w:pPr>
      <w:r>
        <w:rPr>
          <w:color w:val="1F3A8A"/>
          <w:sz w:val="32"/>
          <w:szCs w:val="32"/>
          <w:b w:val="1"/>
          <w:bCs w:val="1"/>
        </w:rPr>
        <w:t xml:space="preserve">10. FORMATION ET CONFIDENTIALITÉ INTERNE</w:t>
      </w:r>
    </w:p>
    <w:p>
      <w:pPr>
        <w:pStyle w:val="Body"/>
      </w:pPr>
      <w:r>
        <w:rPr/>
        <w:t xml:space="preserve">AMBASSADIA SARL sensibilise les personnes autorisées à intervenir sur le Service aux obligations de confidentialité, de sécurité, de protection des Données et de respect des instructions du Client.</w:t>
      </w:r>
    </w:p>
    <w:p>
      <w:pPr>
        <w:pStyle w:val="Body"/>
      </w:pPr>
      <w:r>
        <w:rPr/>
        <w:t xml:space="preserve">Les personnes ayant accès aux Données sont soumises à une obligation de confidentialité contractuelle ou légale.</w:t>
      </w:r>
    </w:p>
    <w:p>
      <w:pPr>
        <w:pStyle w:val="H1"/>
      </w:pPr>
      <w:r>
        <w:rPr>
          <w:color w:val="1F3A8A"/>
          <w:sz w:val="32"/>
          <w:szCs w:val="32"/>
          <w:b w:val="1"/>
          <w:bCs w:val="1"/>
        </w:rPr>
        <w:t xml:space="preserve">11. TEST, CONTRÔLE ET AMÉLIORATION DES MTOs</w:t>
      </w:r>
    </w:p>
    <w:p>
      <w:pPr>
        <w:pStyle w:val="Body"/>
      </w:pPr>
      <w:r>
        <w:rPr/>
        <w:t xml:space="preserve">AMBASSADIA SARL met en œuvre une procédure raisonnable visant à tester, analyser et évaluer régulièrement l’efficacité des MTOs, conformément à l’article 32.1.d du RGPD.</w:t>
      </w:r>
    </w:p>
    <w:p>
      <w:pPr>
        <w:pStyle w:val="Body"/>
      </w:pPr>
      <w:r>
        <w:rPr/>
        <w:t xml:space="preserve">Cette procédure peut inclure revues de configuration, contrôles d’accès, suivi des erreurs, analyse d’incidents, tests de restauration, revue des dépendances, corrections de vulnérabilités et amélioration continue des mesures de sécurité.</w:t>
      </w:r>
    </w:p>
    <w:sectPr>
      <w:pgSz w:orient="portrait" w:w="11905.511811023622" w:h="16837.79527559055"/>
      <w:pgMar w:top="1418" w:right="1418" w:bottom="1418" w:left="141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nsid w:val="94AC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Body">
    <w:name w:val="Body"/>
    <w:basedOn w:val="Normal"/>
    <w:pPr>
      <w:spacing w:after="140"/>
    </w:pPr>
  </w:style>
  <w:style w:type="paragraph" w:customStyle="1" w:styleId="H1">
    <w:name w:val="H1"/>
    <w:basedOn w:val="Normal"/>
    <w:pPr>
      <w:keepNext w:val="1"/>
      <w:spacing w:before="360" w:after="200"/>
    </w:pPr>
  </w:style>
  <w:style w:type="paragraph" w:customStyle="1" w:styleId="H2">
    <w:name w:val="H2"/>
    <w:basedOn w:val="Normal"/>
    <w:pPr>
      <w:keepNext w:val="1"/>
      <w:spacing w:before="260" w:after="140"/>
    </w:pPr>
  </w:style>
  <w:style w:type="paragraph" w:customStyle="1" w:styleId="H3">
    <w:name w:val="H3"/>
    <w:basedOn w:val="Normal"/>
    <w:pPr>
      <w:keepNext w:val="1"/>
      <w:spacing w:before="180" w:after="100"/>
    </w:pPr>
  </w:style>
  <w:style w:type="paragraph" w:customStyle="1" w:styleId="Caption">
    <w:name w:val="Caption"/>
    <w:basedOn w:val="Normal"/>
    <w:pPr>
      <w:jc w:val="center"/>
      <w:spacing w:after="240"/>
    </w:pPr>
  </w:style>
  <w:style w:type="table" w:customStyle="1" w:styleId="DpaTable">
    <w:name w:val="DpaTable"/>
    <w:uiPriority w:val="99"/>
    <w:tblPr>
      <w:jc w:val="center"/>
      <w:tblW w:w="0" w:type="auto"/>
      <w:tblLayout w:type="autofit"/>
      <w:tblCellMar>
        <w:top w:w="100" w:type="dxa"/>
        <w:left w:w="100" w:type="dxa"/>
        <w:right w:w="100" w:type="dxa"/>
        <w:bottom w:w="100" w:type="dxa"/>
      </w:tblCellMar>
      <w:tblBorders>
        <w:top w:val="single" w:sz="6" w:color="CCCCCC"/>
        <w:left w:val="single" w:sz="6" w:color="CCCCCC"/>
        <w:right w:val="single" w:sz="6" w:color="CCCCCC"/>
        <w:bottom w:val="single" w:sz="6" w:color="CCCCCC"/>
        <w:insideH w:val="single" w:sz="6" w:color="CCCCCC"/>
        <w:insideV w:val="single" w:sz="6" w:color="CCCCCC"/>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2026-06-30T18:08:12+00:00</dcterms:created>
  <dcterms:modified xsi:type="dcterms:W3CDTF">2026-06-30T18:08:12+00:00</dcterms:modified>
</cp:coreProperties>
</file>

<file path=docProps/custom.xml><?xml version="1.0" encoding="utf-8"?>
<Properties xmlns="http://schemas.openxmlformats.org/officeDocument/2006/custom-properties" xmlns:vt="http://schemas.openxmlformats.org/officeDocument/2006/docPropsVTypes"/>
</file>